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701"/>
        <w:gridCol w:w="1418"/>
        <w:gridCol w:w="683"/>
        <w:gridCol w:w="2577"/>
        <w:gridCol w:w="307"/>
        <w:gridCol w:w="977"/>
        <w:gridCol w:w="2969"/>
        <w:gridCol w:w="248"/>
      </w:tblGrid>
      <w:tr w:rsidR="00BC2DA4" w:rsidRPr="00BC2DA4" w:rsidTr="00BC2DA4">
        <w:trPr>
          <w:trHeight w:val="255"/>
        </w:trPr>
        <w:tc>
          <w:tcPr>
            <w:tcW w:w="1701"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Level</w:t>
            </w:r>
          </w:p>
        </w:tc>
        <w:tc>
          <w:tcPr>
            <w:tcW w:w="1418"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683"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257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Provinsi Riau</w:t>
            </w:r>
          </w:p>
        </w:tc>
        <w:tc>
          <w:tcPr>
            <w:tcW w:w="30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97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2969"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255"/>
        </w:trPr>
        <w:tc>
          <w:tcPr>
            <w:tcW w:w="3119"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Komponen</w:t>
            </w:r>
          </w:p>
        </w:tc>
        <w:tc>
          <w:tcPr>
            <w:tcW w:w="683"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2884"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B. Kapasitas Pemerintah</w:t>
            </w:r>
          </w:p>
        </w:tc>
        <w:tc>
          <w:tcPr>
            <w:tcW w:w="97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2969"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255"/>
        </w:trPr>
        <w:tc>
          <w:tcPr>
            <w:tcW w:w="1701"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683"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2577"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307"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977"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2969"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255"/>
        </w:trPr>
        <w:tc>
          <w:tcPr>
            <w:tcW w:w="3802" w:type="dxa"/>
            <w:gridSpan w:val="3"/>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Isu dalam PGA REDD+</w:t>
            </w:r>
          </w:p>
        </w:tc>
        <w:tc>
          <w:tcPr>
            <w:tcW w:w="6830" w:type="dxa"/>
            <w:gridSpan w:val="4"/>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345"/>
        </w:trPr>
        <w:tc>
          <w:tcPr>
            <w:tcW w:w="3119"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683"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7078"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BC2DA4" w:rsidRPr="00BC2DA4" w:rsidTr="00BC2DA4">
        <w:trPr>
          <w:trHeight w:val="255"/>
        </w:trPr>
        <w:tc>
          <w:tcPr>
            <w:tcW w:w="3119"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683"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6830" w:type="dxa"/>
            <w:gridSpan w:val="4"/>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248"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856"/>
        <w:gridCol w:w="1152"/>
        <w:gridCol w:w="1814"/>
        <w:gridCol w:w="1004"/>
        <w:gridCol w:w="1700"/>
        <w:gridCol w:w="1130"/>
        <w:gridCol w:w="1847"/>
        <w:gridCol w:w="1382"/>
      </w:tblGrid>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433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BIa1</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Latar belakang Pendidikan formal </w:t>
            </w:r>
          </w:p>
        </w:tc>
        <w:tc>
          <w:tcPr>
            <w:tcW w:w="1814" w:type="dxa"/>
            <w:vMerge w:val="restart"/>
            <w:tcBorders>
              <w:top w:val="nil"/>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Laporan Tahunan Dinas Kehutanan Provinsi Riau 2012 Sub bab Kepegawaian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Sekitar 50 persen SDM latar belakang pendidikan formal S1 bidang kehutanan, Kepala Bagian Planologi S2 Manajemen. Pengalaman antara 1-5 tahun dalam bidang kehutanan. Hal ini disebabkan karena Provinsi Riau berdasarkan TGHK/1986 adalah hutan. Oleh karena itu, hutan merupakan primary consent Provinsi Riau sejak dulu. TGHK/1986 belum direvisi, masih dalam proses usulan dan verifikasi di Kementerian Kehutanan. Selama revisi TGHK/1986 belum disetujui oleh Kementerian Kehutanan, perencanaan daerah belum dapat maksimal, meskipun permasalahan yang berkaitan dengan RTRWP Riau semakin banyak dan kompleks.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4</w:t>
            </w:r>
          </w:p>
        </w:tc>
      </w:tr>
      <w:tr w:rsidR="00BC2DA4" w:rsidRPr="00BC2DA4" w:rsidTr="00BC2DA4">
        <w:trPr>
          <w:trHeight w:val="1020"/>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PU</w:t>
            </w:r>
          </w:p>
        </w:tc>
        <w:tc>
          <w:tcPr>
            <w:tcW w:w="1700"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130"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847"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382" w:type="dxa"/>
            <w:tcBorders>
              <w:top w:val="nil"/>
              <w:left w:val="nil"/>
              <w:bottom w:val="single" w:sz="4" w:space="0" w:color="auto"/>
              <w:right w:val="single" w:sz="4" w:space="0" w:color="auto"/>
            </w:tcBorders>
            <w:shd w:val="clear" w:color="000000" w:fill="F2DDDC"/>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r>
      <w:tr w:rsidR="00BC2DA4" w:rsidRPr="00BC2DA4" w:rsidTr="00BC2DA4">
        <w:trPr>
          <w:trHeight w:val="1530"/>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Bappeda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Laporan Tahunan Bappeda Provinsi Riau 2012 Sub bab Kepegawaian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Bappeda terutama pada Sub Bidang III Tata Ruang berlatar belakang pendidikan S1 dari berbagai bidang  disiplin ilmu. Ekonomi, Perencanaan Wilayah dan Kebijakan Publik. Kasubid berlatarbelakang pendidikan S2 Kebijakan Publik.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4</w:t>
            </w:r>
          </w:p>
        </w:tc>
      </w:tr>
      <w:tr w:rsidR="00BC2DA4" w:rsidRPr="00BC2DA4" w:rsidTr="00BC2DA4">
        <w:trPr>
          <w:trHeight w:val="1275"/>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BKTR</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diberikan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Tim Terpadu merupakan tim tata ruang yang lintas sektoral dengan dinas terkait, terdiri dari SDM yang memiliki kemampuan teknis memadai dan tingkat pendidikan yang cukup untuk melakukan fungsinya.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510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BIa2</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24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Lama waktu kerja sebagai perencana </w:t>
            </w:r>
          </w:p>
        </w:tc>
        <w:tc>
          <w:tcPr>
            <w:tcW w:w="1814" w:type="dxa"/>
            <w:vMerge w:val="restart"/>
            <w:tcBorders>
              <w:top w:val="nil"/>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yang tersedia tidak memberikan informasi detail tentang waktu kerja SDM di Dishut</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Lama waktu kerja memadai, jika berkaitan dengan  pengukuran, pemetaan jenis-jenis hutan dan penentuan tapal batas. SDM di dinas kehutanan berkompeten dalam memetakan ekologi hutan secara teknis, tetapi untuk mengantisipasi masalah sosiologis yang berkaitan dengan hutan belum memadai akibat fokus SDM lebih besar pada aspek teknis kehutanan. Jika dikaitkan dengan tata kelola kehutanan yang multi stake holder, SDM juga masih memerlukan upaya yang lebih besar lagi, karena persoalan koordinasi dan kerjasama di luar instansi akan semakin kompleks.  Informan Kabag </w:t>
            </w:r>
            <w:r w:rsidRPr="00BC2DA4">
              <w:rPr>
                <w:rFonts w:ascii="Times New Roman" w:eastAsia="Times New Roman" w:hAnsi="Times New Roman" w:cs="Times New Roman"/>
                <w:color w:val="000000"/>
                <w:sz w:val="20"/>
                <w:szCs w:val="20"/>
                <w:lang w:eastAsia="id-ID"/>
              </w:rPr>
              <w:lastRenderedPageBreak/>
              <w:t>Planologi juga mengakui bahwa koordinasi antar instansi masih menjadi persoalan pelik karena adanya ego sektoral. Tata kelola kehutanan yang melibatkan stake holder di luar pemprov akan semakin kompleks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3</w:t>
            </w:r>
          </w:p>
        </w:tc>
      </w:tr>
      <w:tr w:rsidR="00BC2DA4" w:rsidRPr="00BC2DA4" w:rsidTr="00BC2DA4">
        <w:trPr>
          <w:trHeight w:val="1020"/>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PU</w:t>
            </w:r>
          </w:p>
        </w:tc>
        <w:tc>
          <w:tcPr>
            <w:tcW w:w="1700"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130"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847"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382" w:type="dxa"/>
            <w:tcBorders>
              <w:top w:val="nil"/>
              <w:left w:val="nil"/>
              <w:bottom w:val="single" w:sz="4" w:space="0" w:color="auto"/>
              <w:right w:val="single" w:sz="4" w:space="0" w:color="auto"/>
            </w:tcBorders>
            <w:shd w:val="clear" w:color="000000" w:fill="F2DDDC"/>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r>
      <w:tr w:rsidR="00BC2DA4" w:rsidRPr="00BC2DA4" w:rsidTr="00BC2DA4">
        <w:trPr>
          <w:trHeight w:val="1275"/>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Bappeda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yang tersedia tidak memberikan informasi detail tentang waktu kerja SDM di Bappeda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Lama waktu kerja cukup memdai mengingat yang bekerja di Bappeda staff minimal lama kerja 3 tahun, sementara kasubag menangani bidang ini sejak tahun 2006 atau 6 tahun.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1020"/>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BKTR</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dapat memberikan dokumen karena sedang menunggu ekspose kemenhut, belum ada pengesahan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Lama waktu kerja SDM yang tergabung dalam Tim Terpadu dalam menyusun RTRWP Riau semuanya mereka yang berpengalaman lebih dari 4 tahun.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255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BIa3</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24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Sertifikat perencanaan wilayah </w:t>
            </w:r>
          </w:p>
        </w:tc>
        <w:tc>
          <w:tcPr>
            <w:tcW w:w="1814" w:type="dxa"/>
            <w:vMerge w:val="restart"/>
            <w:tcBorders>
              <w:top w:val="nil"/>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Dalam dokumen yang tersedia tidak memberikan informasi pemegang sertifikat perencana wilayah</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Perencana di bidang Planologi merupakan lulusan kehutanan, studi pembangunan dan planologi (teknis) yang berkaitan dengan pengukuran, Sebagian besar SDM Planologi bekerja berdasarkan pengalaman dan jika memiliki </w:t>
            </w:r>
            <w:r w:rsidRPr="00BC2DA4">
              <w:rPr>
                <w:rFonts w:ascii="Times New Roman" w:eastAsia="Times New Roman" w:hAnsi="Times New Roman" w:cs="Times New Roman"/>
                <w:color w:val="000000"/>
                <w:sz w:val="20"/>
                <w:szCs w:val="20"/>
                <w:lang w:eastAsia="id-ID"/>
              </w:rPr>
              <w:lastRenderedPageBreak/>
              <w:t>sertifikat merupakan SDM yang dulunya adalah pegawai kanwil dinas kehutanan.  SDM yang memiliki sertifikat perpetaan dan pengukuran tidak lebih dari 10 orang</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3</w:t>
            </w:r>
          </w:p>
        </w:tc>
      </w:tr>
      <w:tr w:rsidR="00BC2DA4" w:rsidRPr="00BC2DA4" w:rsidTr="00BC2DA4">
        <w:trPr>
          <w:trHeight w:val="1020"/>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PU</w:t>
            </w:r>
          </w:p>
        </w:tc>
        <w:tc>
          <w:tcPr>
            <w:tcW w:w="1700"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130"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847"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382" w:type="dxa"/>
            <w:tcBorders>
              <w:top w:val="nil"/>
              <w:left w:val="nil"/>
              <w:bottom w:val="single" w:sz="4" w:space="0" w:color="auto"/>
              <w:right w:val="single" w:sz="4" w:space="0" w:color="auto"/>
            </w:tcBorders>
            <w:shd w:val="clear" w:color="000000" w:fill="F2DDDC"/>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r>
      <w:tr w:rsidR="00BC2DA4" w:rsidRPr="00BC2DA4" w:rsidTr="00BC2DA4">
        <w:trPr>
          <w:trHeight w:val="765"/>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Bappeda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Sertifikat belum memiliki, tapi basis pendidikan untuk Kasi Tata Ruang adalah S2 perencanaan wilayah.</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1530"/>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BKTR</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 sulit mencari karena ada di SKPD masing-masing.</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Sertifikat belum memiliki, tapi basis pendidikan SDM berkaitan dengan perencanaan wilayah, teknis perpetaan, pengukuran, pertanahan, kehutanan, perkebunan, sosial ekonomi dan konflik sosial dari jenjang pendidikan S1 dan S2.</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4</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630"/>
        </w:trPr>
        <w:tc>
          <w:tcPr>
            <w:tcW w:w="3822" w:type="dxa"/>
            <w:gridSpan w:val="3"/>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2704"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Kepala SKPD, dan Kepala Bagian Perencanaan</w:t>
            </w: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84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178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BIb1</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Latar belakang Pendidikan formal </w:t>
            </w:r>
          </w:p>
        </w:tc>
        <w:tc>
          <w:tcPr>
            <w:tcW w:w="1814" w:type="dxa"/>
            <w:vMerge w:val="restart"/>
            <w:tcBorders>
              <w:top w:val="nil"/>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Laporan Tahunan Dinas Kehutanan Provinsi Riau 2012 Sub bab Kepegawaian sebagian besar SDM di Dishut berlatar belakang pendidikan S1 102 orang, S2 25 orang dari total 293 pegawai </w:t>
            </w:r>
            <w:r w:rsidRPr="00BC2DA4">
              <w:rPr>
                <w:rFonts w:ascii="Times New Roman" w:eastAsia="Times New Roman" w:hAnsi="Times New Roman" w:cs="Times New Roman"/>
                <w:color w:val="000000"/>
                <w:sz w:val="20"/>
                <w:szCs w:val="20"/>
                <w:lang w:eastAsia="id-ID"/>
              </w:rPr>
              <w:lastRenderedPageBreak/>
              <w:t>dishut Provinsi.</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3</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Pada umumnya S1, 50 persen berlatar belakang pendidikan kehutanan, planologi, studi pembangunan dan manajemen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1020"/>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PU</w:t>
            </w:r>
          </w:p>
        </w:tc>
        <w:tc>
          <w:tcPr>
            <w:tcW w:w="1700"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130"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847"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382" w:type="dxa"/>
            <w:tcBorders>
              <w:top w:val="nil"/>
              <w:left w:val="nil"/>
              <w:bottom w:val="single" w:sz="4" w:space="0" w:color="auto"/>
              <w:right w:val="single" w:sz="4" w:space="0" w:color="auto"/>
            </w:tcBorders>
            <w:shd w:val="clear" w:color="000000" w:fill="F2DDDC"/>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r>
      <w:tr w:rsidR="00BC2DA4" w:rsidRPr="00BC2DA4" w:rsidTr="00BC2DA4">
        <w:trPr>
          <w:trHeight w:val="1275"/>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Bappeda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Laporan Tahunan Bappeda Provinsi Riau 2012 Sub bab Kepegawaian sebagian besar SDM di Bappeda berlatar pendidikan S1</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SDM yang bertugas di Bappeda cukup baik dalam unit perencanaan karena didukung dengan pendidikan yang memadai.</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2475"/>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BKTR</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ditemukan dokumen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Semuanya S1 dan sebagian S2 dan berpengalaman di unit perencanaan, karena tata ruang Riau menjadi permasalahan paling krusial di Riau, jadi SDM yang terhimpun dalam proses padu serasi serta pendataan yang berkaitan dengan kehutanan dipilih dari mereka yang berlatar belakang pendidikan memadai.</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178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BIb2</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24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Lama waktu kerja sebagai perencana </w:t>
            </w:r>
          </w:p>
        </w:tc>
        <w:tc>
          <w:tcPr>
            <w:tcW w:w="1814" w:type="dxa"/>
            <w:vMerge w:val="restart"/>
            <w:tcBorders>
              <w:top w:val="nil"/>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Laporan Tahunan Dinas Kehutanan Provinsi Riau 2012 Sub bab Kepegawaian sebagian besar SDM di Dishut berlatar pendidikan S1</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Memadai , karena SDM memiliki masa kerja lebih dari 3 tahun, namun untuk mengatasi persoalan yang terkait koordinasi, belum dapat dibuktikan, karena, koordinasi di dalam instansi tidak mudah, terlebih lagi lintas instansi karena berkaitan persoalan struktural dan eselonary.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1020"/>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PU</w:t>
            </w:r>
          </w:p>
        </w:tc>
        <w:tc>
          <w:tcPr>
            <w:tcW w:w="1700"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130"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847"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382" w:type="dxa"/>
            <w:tcBorders>
              <w:top w:val="nil"/>
              <w:left w:val="nil"/>
              <w:bottom w:val="single" w:sz="4" w:space="0" w:color="auto"/>
              <w:right w:val="single" w:sz="4" w:space="0" w:color="auto"/>
            </w:tcBorders>
            <w:shd w:val="clear" w:color="000000" w:fill="F2DDDC"/>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r>
      <w:tr w:rsidR="00BC2DA4" w:rsidRPr="00BC2DA4" w:rsidTr="00BC2DA4">
        <w:trPr>
          <w:trHeight w:val="2805"/>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Bappeda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yang tersedia menyediakan data detail untuk menjawab indikator</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Lama waktu kerja untuk mengatasi kendala yang bersifat teknis relatif mencukupi, tapi kecakapan dalam hal koordinasi dan pengambilan keputusan seringkali terkendala kewenangan karena Bappeda sifatnya saat ini koordinatif dan fasilitasi sementara permasalahan yang berkaitan dengan perencanaan wilayah sangat kompleks sejak otda dan desentralisasi. Program pembangunan daerah tidak selalu sinkron dengan provinsi</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1215"/>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BKTR</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yang ada tidak menyediakan data detail untuk menjawab indikator</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Lama waktu kerja untuk mengatasi kendala yang bersifat teknis relatif mencukupi. Untuk mengakomodir konflik yang muncul akibat tata ruang yang masih belum maksimal</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76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BIb3</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24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Sertifikat perencanaan wilayah </w:t>
            </w:r>
          </w:p>
        </w:tc>
        <w:tc>
          <w:tcPr>
            <w:tcW w:w="1814" w:type="dxa"/>
            <w:vMerge w:val="restart"/>
            <w:tcBorders>
              <w:top w:val="nil"/>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yang ada tidak menyediakan data detail untuk menjawab indikator</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Sertifikat yang dimiliki oleh SDM bidang kehutanan adalah sertifikat pengukuran dan perpetaan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1020"/>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PU</w:t>
            </w:r>
          </w:p>
        </w:tc>
        <w:tc>
          <w:tcPr>
            <w:tcW w:w="1700"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130"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847"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382" w:type="dxa"/>
            <w:tcBorders>
              <w:top w:val="nil"/>
              <w:left w:val="nil"/>
              <w:bottom w:val="single" w:sz="4" w:space="0" w:color="auto"/>
              <w:right w:val="single" w:sz="4" w:space="0" w:color="auto"/>
            </w:tcBorders>
            <w:shd w:val="clear" w:color="000000" w:fill="F2DDDC"/>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r>
      <w:tr w:rsidR="00BC2DA4" w:rsidRPr="00BC2DA4" w:rsidTr="00BC2DA4">
        <w:trPr>
          <w:trHeight w:val="510"/>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Bappeda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ada yang memiliki sertifikat perencaaan kehutanan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1500"/>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BKTR</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ada yang memiliki sertifikat perencanaan kehutanan, tapi SDM mengikuti workshop, pelatihan yang berkaitanan dengan kehutanan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255"/>
        </w:trPr>
        <w:tc>
          <w:tcPr>
            <w:tcW w:w="3822" w:type="dxa"/>
            <w:gridSpan w:val="3"/>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BC2DA4" w:rsidRPr="00BC2DA4" w:rsidTr="00BC2DA4">
        <w:trPr>
          <w:trHeight w:val="69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single" w:sz="4" w:space="0" w:color="auto"/>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Usulan kegiatan dan DIPA pada tahun yang sama tiga tahun kebelakang,</w:t>
            </w:r>
            <w:r w:rsidRPr="00BC2DA4">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127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BIc1</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814" w:type="dxa"/>
            <w:vMerge w:val="restart"/>
            <w:tcBorders>
              <w:top w:val="nil"/>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dikenal mata anggaran tata ruang partisipatif. Untuk penyusunan tata ruang Dishut tergabung dalam Tim Terpadu yang yang lintas dinas dan sektoral serta berkoordinasi dengan tingkat kabupaten.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255"/>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Dinas Pertanian</w:t>
            </w:r>
          </w:p>
        </w:tc>
        <w:tc>
          <w:tcPr>
            <w:tcW w:w="1700"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Bukan tupoksi dinas pertanian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2475"/>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BPN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bersedia memberikan data karena BPN tidak disebutkan sebagai lembaga yang dituju dalam Surat Keterangan dari UKPPPP. Informan, Kasi Penatagunaan Tanah dari Bidang Pengaturan Penataan Pertanahan hanya bersedia diwawancara saja.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Di Riau hampir tidak dikenal adanya penyusunan proses perencanaan tata ruang partisipatif. Jika partisipatif diartikan dengan keterlibatan antar sektor dalam tata ruang, dilakukan oleh Tim Terpadu tingkat provinsi. Penataan ruang dilakukan lintas instansi seperti Bappeda, PU, Kanwil BPN Provinsi, Dinas Kehutanan. Sementara dengan elemen masyarakat belum komprehensif dilakukan.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BC2DA4" w:rsidRPr="00BC2DA4" w:rsidTr="00BC2DA4">
        <w:trPr>
          <w:trHeight w:val="67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lastRenderedPageBreak/>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229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BId1</w:t>
            </w:r>
          </w:p>
        </w:tc>
        <w:tc>
          <w:tcPr>
            <w:tcW w:w="115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Pembagian tugas</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SOP Penyelesaian konflik sedang proses penyusunan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Dinas Kehutanan Provinsi Riau belum memiliki SOP Penyelesaian Konflik Kehutanan. Penyelesaian Konflik Kehutanan dilakukan oleh Polisi Hutan dibawah koordinasi Balai Besar Konservasi Sumber Daya Alam (BBKSDA).   Dishut Provinsi sedang dalam proses Pembahasan Revisi Tata Ruang yang sementara ini masih menggunakan TGHK/1986.</w:t>
            </w:r>
          </w:p>
        </w:tc>
        <w:tc>
          <w:tcPr>
            <w:tcW w:w="1382" w:type="dxa"/>
            <w:tcBorders>
              <w:top w:val="nil"/>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BId2</w:t>
            </w:r>
          </w:p>
        </w:tc>
        <w:tc>
          <w:tcPr>
            <w:tcW w:w="115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Struktur Organisasi </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ada SOP Penyelesaian konflik karena bukan tupoksi Dinas Kehutanan. Penyelesaian konflik kehutanan dilakukan oleh Polisi Hutan ada di BKSDA.</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BId3</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Tahapan pelaksanaan penyelesaian konflik</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ada SOP Penyelesaian konflik karena bukan tupoksi Dinas Kehutanan. Penyelesaian konflik kehutanan dilakukan oleh Polisi Hutan ada di BKSDA.</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BId4</w:t>
            </w:r>
          </w:p>
        </w:tc>
        <w:tc>
          <w:tcPr>
            <w:tcW w:w="115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Keterlibatan masyarakat</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ada SOP Penyelesaian konflik karena bukan tupoksi Dinas Kehutanan. Penyelesaian konflik kehutanan dilakukan oleh Polisi Hutan ada di BKSDA.</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BId5</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Mekanisme pengambilan keputusan</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ada SOP Penyelesaian konflik karena bukan tupoksi Dinas Kehutanan. Penyelesaian konflik kehutanan dilakukan oleh Polisi Hutan ada di BKSDA.</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BId6</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Tata waktu penyelesaian konflik</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ada SOP Penyelesaian konflik karena bukan tupoksi Dinas Kehutanan. Penyelesaian konflik kehutanan dilakukan oleh Polisi Hutan ada di BKSDA.</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BId7</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Mekanisme penyampaian informasi proses dan hasil penyelesaian konflik</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ada SOP Penyelesaian konflik karena bukan tupoksi Dinas Kehutanan. Penyelesaian konflik kehutanan dilakukan oleh Polisi Hutan ada di BKSDA.</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25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BIe1</w:t>
            </w:r>
          </w:p>
        </w:tc>
        <w:tc>
          <w:tcPr>
            <w:tcW w:w="1152" w:type="dxa"/>
            <w:vMerge w:val="restart"/>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814" w:type="dxa"/>
            <w:vMerge w:val="restart"/>
            <w:tcBorders>
              <w:top w:val="nil"/>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000000" w:fill="000000"/>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130" w:type="dxa"/>
            <w:tcBorders>
              <w:top w:val="nil"/>
              <w:left w:val="nil"/>
              <w:bottom w:val="single" w:sz="4" w:space="0" w:color="auto"/>
              <w:right w:val="single" w:sz="4" w:space="0" w:color="auto"/>
            </w:tcBorders>
            <w:shd w:val="clear" w:color="000000" w:fill="000000"/>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765"/>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PU</w:t>
            </w:r>
          </w:p>
        </w:tc>
        <w:tc>
          <w:tcPr>
            <w:tcW w:w="1700" w:type="dxa"/>
            <w:tcBorders>
              <w:top w:val="nil"/>
              <w:left w:val="nil"/>
              <w:bottom w:val="single" w:sz="4" w:space="0" w:color="auto"/>
              <w:right w:val="single" w:sz="4" w:space="0" w:color="auto"/>
            </w:tcBorders>
            <w:shd w:val="clear" w:color="000000" w:fill="000000"/>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130" w:type="dxa"/>
            <w:tcBorders>
              <w:top w:val="nil"/>
              <w:left w:val="nil"/>
              <w:bottom w:val="single" w:sz="4" w:space="0" w:color="auto"/>
              <w:right w:val="single" w:sz="4" w:space="0" w:color="auto"/>
            </w:tcBorders>
            <w:shd w:val="clear" w:color="000000" w:fill="000000"/>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847" w:type="dxa"/>
            <w:tcBorders>
              <w:top w:val="nil"/>
              <w:left w:val="nil"/>
              <w:bottom w:val="single" w:sz="4" w:space="0" w:color="auto"/>
              <w:right w:val="single" w:sz="4" w:space="0" w:color="auto"/>
            </w:tcBorders>
            <w:shd w:val="clear" w:color="000000" w:fill="F2DDDC"/>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382" w:type="dxa"/>
            <w:tcBorders>
              <w:top w:val="nil"/>
              <w:left w:val="nil"/>
              <w:bottom w:val="single" w:sz="4" w:space="0" w:color="auto"/>
              <w:right w:val="single" w:sz="4" w:space="0" w:color="auto"/>
            </w:tcBorders>
            <w:shd w:val="clear" w:color="000000" w:fill="F2DDDC"/>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r>
      <w:tr w:rsidR="00BC2DA4" w:rsidRPr="00BC2DA4" w:rsidTr="00BC2DA4">
        <w:trPr>
          <w:trHeight w:val="255"/>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LSM</w:t>
            </w:r>
          </w:p>
        </w:tc>
        <w:tc>
          <w:tcPr>
            <w:tcW w:w="1700" w:type="dxa"/>
            <w:tcBorders>
              <w:top w:val="nil"/>
              <w:left w:val="nil"/>
              <w:bottom w:val="single" w:sz="4" w:space="0" w:color="auto"/>
              <w:right w:val="single" w:sz="4" w:space="0" w:color="auto"/>
            </w:tcBorders>
            <w:shd w:val="clear" w:color="000000" w:fill="000000"/>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130" w:type="dxa"/>
            <w:tcBorders>
              <w:top w:val="nil"/>
              <w:left w:val="nil"/>
              <w:bottom w:val="single" w:sz="4" w:space="0" w:color="auto"/>
              <w:right w:val="single" w:sz="4" w:space="0" w:color="auto"/>
            </w:tcBorders>
            <w:shd w:val="clear" w:color="000000" w:fill="000000"/>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255"/>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Jurnalis</w:t>
            </w:r>
          </w:p>
        </w:tc>
        <w:tc>
          <w:tcPr>
            <w:tcW w:w="1700" w:type="dxa"/>
            <w:tcBorders>
              <w:top w:val="nil"/>
              <w:left w:val="nil"/>
              <w:bottom w:val="single" w:sz="4" w:space="0" w:color="auto"/>
              <w:right w:val="single" w:sz="4" w:space="0" w:color="auto"/>
            </w:tcBorders>
            <w:shd w:val="clear" w:color="000000" w:fill="000000"/>
            <w:noWrap/>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130" w:type="dxa"/>
            <w:tcBorders>
              <w:top w:val="nil"/>
              <w:left w:val="nil"/>
              <w:bottom w:val="single" w:sz="4" w:space="0" w:color="auto"/>
              <w:right w:val="single" w:sz="4" w:space="0" w:color="auto"/>
            </w:tcBorders>
            <w:shd w:val="clear" w:color="000000" w:fill="000000"/>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Isu dalam PGA REDD+</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2704"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II. Pengaturan Hak  </w:t>
            </w: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84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70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BC2DA4" w:rsidRPr="00BC2DA4" w:rsidTr="00BC2DA4">
        <w:trPr>
          <w:trHeight w:val="36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single" w:sz="4" w:space="0" w:color="auto"/>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lastRenderedPageBreak/>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4560"/>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BIIa1</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Kondisi realisasi rencana kebutuhan SDM </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rencana kebutuhan SDM sudah terpenuhi?</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Sementara terpenuhi 25 persen berdasarkan hasil wawancara. SDM memiliki keahlian di bidang GIS (perpetaan), pengukuran, dan berbagai diklat teknis kehutanan.  SDM di dishut provinsi berasal dari kanwil Kehutanan sebelum diberlakukan Desentralisasi dan Otda 1999. SDM sangat kurang terhadap keahlian di bidang tata kelola kehutanan terlebih bila untuk menangani konflik manusia dan satwa liar yang dilindungi, masyarakat dengan perusahaan atau pemerintah dengan masyarakat. Dalam hal ini, untuk menangani pengaduan masyarakat yang terkait perambahan hutan konservasi di mana masyarakat adat bermata pencaharian dan hidupnya tergantung dengan hutan.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5610"/>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BIIa2</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Memiliki pendidikan S1 di bidang terkait dengan kehutanan </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Berdasarkan Laporan Tahunan Dinas Kehutanan Provinsi Riau, jumlah SDM berpendidikan S1 yaitu </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SDM yang bertugas di Dinas Kehutanan Provinsi ditinjau dari tingkat dan latar pendidikan 50% berasal dari S1 bidang kehutanan, planologi dan studi pembangunan. Tidak diketahui seberapa besar efektitas SDM tersebut untuk menangani persoalan kehutanan yang berkaitan dengan kelestarian dan hak masyarakat. Perspektif yang mengemuka dari hasil wawancara adalah prioritas terhadap Hutan Tanaman Produksi (terlepas kriteria tersebut adalah HPH, HPT atau HTR). Perspektif ini jika ditransfer dalam pengambilan keputusan dalam tata kelola kehutanan cukup besar berpotensi terhadap degradasi hutan konservasi. Catatan: cukup memadai dari segi teknis kehutanan, demikian pula untuk mengadministrasi masyarakat bisnis. Tapi, untuk mengakomodir kepentingan hak masyarakat belum dapat dinyatakan memadai.</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5610"/>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BIIa3</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 hingga detail sesuai dengan kebutuhan indikator.</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terlalu memiliki pengalaman karena Dinas Kehutanan hanya sebatas koordinasi. Biasanya jika ada masalah kehutanan masyarakat mengadu ke dinas kehutanan di tingkat kabupaten, provinsi hanya memfasilitasi.  Hak-hak masyarakat dalam hutan belum dapat didefinisikan secara formal karena sebelum revisi RTRWP disahkan kemenhut, dinas tidak memiliki dasar hukum, karena persoalan yang timbul sebagai akibat dari pengelolaan hutan yang bersifat sentralistik. Pengalaman kerja SDM untuk bidang kehutanan sangat memadai, karena pada umumnya pengalaman kerja lebih dari 5 tahun. Untuk mengadministrasikan dalam pengertian meregister, memberi informasi dan melihat kawasan hutan sesuai dengan klasifikasi sudah memadai. Kalangan bisnis biasanya berkonsultasi terutama ke bagian planologi untuk masalah batas wilayah kawasan atau pelepasan kawasan.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4</w:t>
            </w:r>
          </w:p>
        </w:tc>
      </w:tr>
      <w:tr w:rsidR="00BC2DA4" w:rsidRPr="00BC2DA4" w:rsidTr="00BC2DA4">
        <w:trPr>
          <w:trHeight w:val="3570"/>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BIIa4</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SDM tidak mengikuti pelatihan khusus untuk mengelola hak-hak masyarakat dan bisnis. Semuanya berdasarkan pengalaman kerja karena dalam TGHK/1986 wilayah Riau 100% hutan, jadi mulai berbentuk kanwil kehutanan Riau sebelum 1999. Terlebih lagi, tupoksi mengadministrasikan hak masyarakat dan bisnis tidak menjadi tupoksi dinas Kehutanan Provinsi. Dishut hanya sebatas mendapatkan laporan dari kemenhut tentang pemberian izin pelepasan. Sementara izin prinsip diberikan di tingkat kabupaten. Provinsi sebatas memfasilitiasi saja.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73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BC2DA4" w:rsidRPr="00BC2DA4" w:rsidTr="00BC2DA4">
        <w:trPr>
          <w:trHeight w:val="61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403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BIIb1</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Jumlah dana yang dialokasikan dalam DIPA untuk mengadmi-nistrasikan hak masyarakat dan bisnis  pada Unit yang mengad-ministrasikan hak masyarakat dan bisnis </w:t>
            </w:r>
            <w:r w:rsidRPr="00BC2DA4">
              <w:rPr>
                <w:rFonts w:ascii="Times New Roman" w:eastAsia="Times New Roman" w:hAnsi="Times New Roman" w:cs="Times New Roman"/>
                <w:color w:val="000000"/>
                <w:sz w:val="20"/>
                <w:szCs w:val="20"/>
                <w:lang w:eastAsia="id-ID"/>
              </w:rPr>
              <w:lastRenderedPageBreak/>
              <w:t>di Kementerian/SKPD</w:t>
            </w:r>
          </w:p>
        </w:tc>
        <w:tc>
          <w:tcPr>
            <w:tcW w:w="1814"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Bagaimana jumlah dana untuk komponen pengadministrasian hak masyarakat dan bisnis dialoka-sikan dalam DIPA?</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detail belum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Untuk sementara kegiatan yang berkaitan dengan hak masyarakat di Dinas Kehutanan adalah menjadi saksi ahli dalam persidangan kasus kehutanan. Dinas kehutanan setidaknya setiap minggu mendapat permintaan menjadi saksi ahli dari berbagai kabupaten dan provinsi.  Dana yang diperoleh di TA 2012 hanya </w:t>
            </w:r>
            <w:r w:rsidRPr="00BC2DA4">
              <w:rPr>
                <w:rFonts w:ascii="Times New Roman" w:eastAsia="Times New Roman" w:hAnsi="Times New Roman" w:cs="Times New Roman"/>
                <w:color w:val="000000"/>
                <w:sz w:val="20"/>
                <w:szCs w:val="20"/>
                <w:lang w:eastAsia="id-ID"/>
              </w:rPr>
              <w:lastRenderedPageBreak/>
              <w:t>sebesar Rp 70 juta per tahun, meningkat dari tahun sebelumnya Rp 50 juta. Dinas kehutanan tidak memiliki rekapitulasi permintaan menjadi saksi ahli atau tidak terdokumentasi. Jumlah dana tersebut sangat kecil karena rata-rata per tahun kasus kehutanan sekitar 30 kasus. Setiap kasus sidang antara 3-4 kali</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2</w:t>
            </w:r>
          </w:p>
        </w:tc>
      </w:tr>
      <w:tr w:rsidR="00BC2DA4" w:rsidRPr="00BC2DA4" w:rsidTr="00BC2DA4">
        <w:trPr>
          <w:trHeight w:val="7125"/>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BKSDA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Berdsarkan Laporan Tahunan BBKSDA Riau Tahun 2011 bahwa sumber dana BBKSDA Riau maupun Bidang Konservasi wilayah dan seksi-seksinya berassal dari DIPA BA 029 TA 2011 sebesar Rp 29.812.060.000 yaitu kegiatan Pengembangan Desa Konservasi untuk mengembangkan kapasitas masyarakat desa di sekitar hutan konservasi dengan pagu anggaran sebesar Rp 749.000.000 dengan realisasi 627.163.000.</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Kegiatan pengembangan Model Desa Konservasi bertujuan untuk meningkatkan produktivitas masyarakat Desa Kuntu di SM Bukit Rimbang Bukit Baling Kab. Kampar. Kegiatan ini lebih pada upaya pemberdayaan masyarakat. Kegiatan lainnya adalah pengembangan Zona Penyangga, namun belum efektif karena SDM yang total berjumlah 16 kawasan dengan toral 475.470,11 ha sangat kurang dari segi jumlah dan kualitasnya. Permasalahan yang dihadapi dalam kegiatan permbedayaan masyarakat adalah: 1) kegiatan tidak kontinyu dan berkesinambungan; 2) kuantitas dan kualitas petugas yang menjadi fasilitator/pendamping kurang memadai. serta fasilitas pendukung kurang memadai. </w:t>
            </w:r>
            <w:r w:rsidRPr="00BC2DA4">
              <w:rPr>
                <w:rFonts w:ascii="Times New Roman" w:eastAsia="Times New Roman" w:hAnsi="Times New Roman" w:cs="Times New Roman"/>
                <w:color w:val="000000"/>
                <w:sz w:val="20"/>
                <w:szCs w:val="20"/>
                <w:lang w:eastAsia="id-ID"/>
              </w:rPr>
              <w:lastRenderedPageBreak/>
              <w:t>Tidak kegiatan yang mengindikasikan indikator kecuali kegiatan ini. Ditinjau dari segi anggaran cukup besar, namun benefit yang diharapkan dalam masyarakat belum dapat dinilai saat ini. Namun perhatian BBKSDA terhadap pentingnya keterlibatan masyarakat ikut menjaga hutan konservasi patut diapresiasi.  Terlepas dari berbagai kekurangannya karena kompleksnya permasalahan kehutanan di Riau.</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3</w:t>
            </w:r>
          </w:p>
        </w:tc>
      </w:tr>
      <w:tr w:rsidR="00BC2DA4" w:rsidRPr="00BC2DA4" w:rsidTr="00BC2DA4">
        <w:trPr>
          <w:trHeight w:val="765"/>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Dalam DIPA 2012 tidak disebutkan anggaran tersebut, atau anggaran yang mengarah pada indikator</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64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BC2DA4" w:rsidRPr="00BC2DA4" w:rsidTr="00BC2DA4">
        <w:trPr>
          <w:trHeight w:val="45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single" w:sz="4" w:space="0" w:color="auto"/>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597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BIIc1</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Komponen Mekanisme-1: Pembagian tugas &amp; tanggung jawab setiap pihak</w:t>
            </w:r>
          </w:p>
        </w:tc>
        <w:tc>
          <w:tcPr>
            <w:tcW w:w="1814"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Struktur organisasi Dinas Kehutanan dapat dilihat pada Laporan Tahunan Dinas Kehutanan 2011 Bab III. Struktur organisasi menjelaskan tanggung jawab tiap-tiap unit secara mendetail.Tapi struktur belum tentu menggambarkan kinerja dan kerjasama antar unit yang sesungguhnya. Tugas dan tanggung jawab seringkali tidak selalu dapat dilaksanakan secara konsisten dan sesuai dengan deskripsi kerja.  </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Tiap unit memiliki pembagian kerja masing-masing, namun kerja sama antar unit perlu diakui kadang tidak selalu sinkron akibat benyaknya jumlah kasus kehutanan. Apalagi jika dikaitkan dengan mengatur kerjasama dengan masyarakat. Belum ada mekanisme perjanjian kerjasama antara masyarakat dengan dinas kehutanan provinsi. Perjanjian kerjasama antara dinas dengan bisnis ada kontrak tertulis, tetapi dengan masyaarakat tidak karena selama ini belum ada pelepasan hutan kepada masyarakat dari Kemenhut kepada masyarakat. Sepanjang TGHK/1986 belum diverifikasi maka  sulit bagi masyarakat untuk dapat mengelola hutan. Yang dapat mengajukan permohonan pelepasan hanya perusahaan karena kekuatan finansial dan akses yang sangat kuat di tingkat pusat, sementara perorangan belum pernah mendapatkan izin pelepasan karena harus mengajukan langsung ke kemenhut.</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1785"/>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BKSDA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bersifat internal dan tidak termasuk dokumen resmi, informan tidak bersedia memberi dokumen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Untuk menjamin anggaran yang diajukan kegiatannya terealisasi, tiap bagian atau unit memiliki kerjasama tertulis dengan Kepala BBKSDA. </w:t>
            </w:r>
            <w:r w:rsidRPr="00BC2DA4">
              <w:rPr>
                <w:rFonts w:ascii="Times New Roman" w:eastAsia="Times New Roman" w:hAnsi="Times New Roman" w:cs="Times New Roman"/>
                <w:color w:val="000000"/>
                <w:sz w:val="20"/>
                <w:szCs w:val="20"/>
                <w:lang w:eastAsia="id-ID"/>
              </w:rPr>
              <w:lastRenderedPageBreak/>
              <w:t>Seringkali anggaran dikembalikan karena kegiatan tidak berjalan. Prosedur ini dilakukan di luar prosedur standar dan bersifat internal saja.</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3</w:t>
            </w:r>
          </w:p>
        </w:tc>
      </w:tr>
      <w:tr w:rsidR="00BC2DA4" w:rsidRPr="00BC2DA4" w:rsidTr="00BC2DA4">
        <w:trPr>
          <w:trHeight w:val="1020"/>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Tupoksi TNTN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Kerjasama antar unit diatur dalam tupoksi sehingga masing-masing unit terutama unit yang berada di lapangan dan administrasi tidak tumpang tindih.</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201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BIIc2</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Komponen Mekanisme-2: Tahapan pelaksanaan kerjasama</w:t>
            </w:r>
          </w:p>
        </w:tc>
        <w:tc>
          <w:tcPr>
            <w:tcW w:w="1814"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Tupoksi Dishut</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Pelaksanaan tahapan kerjasama dalam mekanisme kerja sama antar unit seperti yang berjalan selama ini dan dipahami dalam pengertian administratif.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3315"/>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BKSDA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Tupoksi BBKSDA telah mengatur struktur organanisasi dan tugas masing-masing unit. Namun seringkali pekerjaan belum juga dapat dilaksanakan secara efektif.</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Mekanisme kerja sama antar unit sudah di atur dalam tupoksi, tapi seringkali manajerial skill untuk mengatasi persoalan-persoalan yang muncul masih belum maksimal. Seringkali ada kegiatan yang mendadak sehingga pekerjaan yang sudah terencana realisasinya kurang maksimal. Kunjungan pejabat tinggi dari pusat mungkin tidak lebih dari beberapa jam, tapi persiapan sebelumnya cukup menguras energi. Tapi hal tersebut bagi lembaga sangat penting karena akan menjadi penilaian tersendiri.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2895"/>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dapat disediakan karena terkendala fasilitas foto kopi yang terbatas</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Kerjasama antar unit telah berjalan sesuai dengan tupoksi dan diatur sesuai dengan ketentuan. Struktur organanisasi memuat jabatan dan pembagian kerja sehingga mekanisme kerjasama realtif lebih mudah dikontrol. Yang menjadi kendala adalah kurangnya jumlah SDM TNTN yang hanya berjumlah 43 orang dengan Polhut 19 orang. Sementara luas TNTN kurang lebih 83.000 ha.</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292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BIIc3</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Komponen Mekanisme-3: Mekanisme pengambilan keputusan</w:t>
            </w:r>
          </w:p>
        </w:tc>
        <w:tc>
          <w:tcPr>
            <w:tcW w:w="1814"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Mekanisme pengambilan keputus-an dalam kerjasama antara unit?</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Renstra dan Struktur Organisasi Dishut</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Mekanisme kerja lebih pada urusan rutin kantor. Pengelolaan dan perlindungan hutan mengikuti mekanisme yang sudah ada sejak dinas kehutanan masih berbentuk kanwil. Keputusan tertinggi di tangan kepala dinas, tapi detail serta rencana dituangkan dalam Renstra sebagai keputusan lembaga tertinggi. Kegiatan dibagi-bagi ke bagian-bagian dan direalisasikan oleh kepala bagian dibantu kepala seksi dan staf.</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3315"/>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BKSDA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Renstra, LAKIP dan Struktur Organisasi Dishut</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Mekanisme pengambilan keputusan dilakukan dalam rapat kerja atau rutin sesuai dengan jabatan dan tanggung jawab. Keputusan lembaga dituangkan dalam Renstra dan RKA. Renstra dan RKA menjadi panduan dalam mekanisme pengambilan keputusan antar unit </w:t>
            </w:r>
            <w:r w:rsidRPr="00BC2DA4">
              <w:rPr>
                <w:rFonts w:ascii="Times New Roman" w:eastAsia="Times New Roman" w:hAnsi="Times New Roman" w:cs="Times New Roman"/>
                <w:color w:val="000000"/>
                <w:sz w:val="20"/>
                <w:szCs w:val="20"/>
                <w:lang w:eastAsia="id-ID"/>
              </w:rPr>
              <w:lastRenderedPageBreak/>
              <w:t xml:space="preserve">walaupun seringkali keputusan juga diambil secara prerogatif oleh kepala seksi pada saat kegiatan berlangsung. Hal tersebut tidak terhindarkan. Pengambilan keputusan ini penting mengingat tujuannya adalah pencapaian kinerja.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3</w:t>
            </w:r>
          </w:p>
        </w:tc>
      </w:tr>
      <w:tr w:rsidR="00BC2DA4" w:rsidRPr="00BC2DA4" w:rsidTr="00BC2DA4">
        <w:trPr>
          <w:trHeight w:val="1785"/>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Struktur Organisasi TNTN tapi dokumen tidak dapat diberikan kurangnya waktu pengumpulan dana keterbatasan listrik dan failitas fotokopi.</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TNTN sebagai perpanjangan tangan pusat menjalankan kebijakan dari pusat. Sementara keputusan antar unit dilakukan melalui rapat koordinasi atau antara kepala seksi. Tapi mekanisme ini relatif sulit bagi yang berada di lapangan. Namun biasanya diselesai dengan komunikasi dari HP.</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192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BIIc4</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Komponen Mekanisme-4: </w:t>
            </w:r>
            <w:r w:rsidRPr="00BC2DA4">
              <w:rPr>
                <w:rFonts w:ascii="Times New Roman" w:eastAsia="Times New Roman" w:hAnsi="Times New Roman" w:cs="Times New Roman"/>
                <w:color w:val="000000"/>
                <w:sz w:val="20"/>
                <w:szCs w:val="20"/>
                <w:lang w:eastAsia="id-ID"/>
              </w:rPr>
              <w:br/>
              <w:t>Tata waktu pelaksanaan kerjasama</w:t>
            </w:r>
          </w:p>
        </w:tc>
        <w:tc>
          <w:tcPr>
            <w:tcW w:w="1814"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Tata waktu pelaksanaan kerjasama dalam mekanisme kerjasama antara unit?</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disusun jangka waktu atau pun Standar Pelayanan Minimal penyelesaian yang berkaitan dengan pola mekanisme administrasi kerjasama antar unit. Unit-unit yang ada lebih bersifat administratif kantor</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255"/>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BKSDA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mengatur hingga sedetail itu.</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1530"/>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Untuk surat menyurat saja kadang dibutuhkan waktu yang sulit diprediksikan. Kecuali surat masuk mudah didistribusikan. Tapi untuk menyelesaiakan sangat tergantung dengan permasalahan apa yang ditangani unit.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157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BIIc5</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Komponen Mekanisme-5: Mekanisme pelaporan hasil pelaksanaan kerjasama</w:t>
            </w:r>
          </w:p>
        </w:tc>
        <w:tc>
          <w:tcPr>
            <w:tcW w:w="1814"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Mekanisme pelaporan hasil pelak-sanaan kerjasama dalam kerjasa-ma antara unit?</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LAKIP Dishut 2011</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Mekanisme pelaporan adalah pelaporan rutin dan bersifat adninstratif. Kalaupun terdapat outcomes dalam LAKIP tidak menggambarkan pelaporan yang berkaitan dengan indikator</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1020"/>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BKSDA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LAKIP dan Lapoaran Tahunan BBKSDA 2011</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Kerjasama antar unit tidak menjadi target penilaian kinerja dan dalam Laporan Tahunan yang paling penting ditinjolkan adalah pencapaian kinerja tiap-tiap bagian.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1275"/>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belum diberikan karena keterbatasan fasilitas fotokopi dan listrik</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terlalu mempermasalahkan pelaksanaan kerjasama antar unit, karena yang paling penting antara anggaran dan kegiatan dari bagian yang mengajukan sinkron/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39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BC2DA4" w:rsidRPr="00BC2DA4" w:rsidTr="00BC2DA4">
        <w:trPr>
          <w:trHeight w:val="33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single" w:sz="4" w:space="0" w:color="auto"/>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382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BIId1</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Kondisi realisasi rencana kebutuhan SDM </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rencana kebutuhan SDM sudah terpenuhi?</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Laporan Tahunan Dishut 2011</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Terpenuhi 25% kebutuhan. Ketersediaan SDM berlatar belakang bidang kehutanan dan memiliki skill berkaitan dengan kehutanan seperti perpetaan dan pengukuran belum sepenuhnya terpenuhi.  Keahlian mediasi konflik kasus kehutanan didasarkan pada pengalaman. Lagipula, dinas kehutanan menilai penanganan konflik bukan tupoksi dinas kehutanan. Jika ada konflik yang harus menangani adalah dinas kehutanan di </w:t>
            </w:r>
            <w:r w:rsidRPr="00BC2DA4">
              <w:rPr>
                <w:rFonts w:ascii="Times New Roman" w:eastAsia="Times New Roman" w:hAnsi="Times New Roman" w:cs="Times New Roman"/>
                <w:color w:val="000000"/>
                <w:sz w:val="20"/>
                <w:szCs w:val="20"/>
                <w:lang w:eastAsia="id-ID"/>
              </w:rPr>
              <w:lastRenderedPageBreak/>
              <w:t>tingkat kabupaten, atau DPRD karena setiap ada persoalan yang menyangkut kehutanan masyarakat mengadukan ke dinas di kabupaten atau DPRD</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2</w:t>
            </w:r>
          </w:p>
        </w:tc>
      </w:tr>
      <w:tr w:rsidR="00BC2DA4" w:rsidRPr="00BC2DA4" w:rsidTr="00BC2DA4">
        <w:trPr>
          <w:trHeight w:val="229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BIId2</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Memiliki pendidikan S1 di bidang terkait dengan kehutanan </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detail tentang latar belakang pendidikan SDM harus dicek dengan alokasi waktu khusus. Baik peneliti maupun petugas untuk menelusuri data tidak dapat mengalokasikan waktu untuk memenuhi data ini.</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SDM yang memiliki pendidikan S1 di bidang kehutanan sejumlah 51 orang dari 102 orang. Namun, jumlah tersebut tidak untuk menangani kasus konflik kehutanan, karena Dishut hanya bersifat fasilitasi. Tidak ada distribusi berdasarkan keahlian penanganan konflik, terlebih Dinas Kehutanan hanya memiliki kewenangan fasilitasi saja.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BIId3</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Memilki sertifikat sebagai mediator dalam penanganan</w:t>
            </w:r>
            <w:r w:rsidRPr="00BC2DA4">
              <w:rPr>
                <w:rFonts w:ascii="Times New Roman" w:eastAsia="Times New Roman" w:hAnsi="Times New Roman" w:cs="Times New Roman"/>
                <w:color w:val="000000"/>
                <w:sz w:val="20"/>
                <w:szCs w:val="20"/>
                <w:lang w:eastAsia="id-ID"/>
              </w:rPr>
              <w:br/>
              <w:t>konflik hak atas hutan</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Dalam tupoksi Dishut tidak ada mediasi untuk penyelesaian konflik, hingga saat ini, jika masyarakat mengajukan tuntutan atau protes berkaitan dengan kehutanan. Jadi penyelesaian atau mediasi konflik kehutanan bukan menjadi wilayah kerja dishut provinsi</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BIId4</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Memiliki pengalaman kerja sebagai mediator yang menangani konflik hak </w:t>
            </w:r>
            <w:r w:rsidRPr="00BC2DA4">
              <w:rPr>
                <w:rFonts w:ascii="Times New Roman" w:eastAsia="Times New Roman" w:hAnsi="Times New Roman" w:cs="Times New Roman"/>
                <w:color w:val="000000"/>
                <w:sz w:val="20"/>
                <w:szCs w:val="20"/>
                <w:lang w:eastAsia="id-ID"/>
              </w:rPr>
              <w:lastRenderedPageBreak/>
              <w:t>atas hutan</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 xml:space="preserve">Apakah SDM  yang bertugas pada Unit yang menangani konflik hak atas hutan memiliki pengalaman kerja sebagai mediator di bidang konflik hak </w:t>
            </w:r>
            <w:r w:rsidRPr="00BC2DA4">
              <w:rPr>
                <w:rFonts w:ascii="Times New Roman" w:eastAsia="Times New Roman" w:hAnsi="Times New Roman" w:cs="Times New Roman"/>
                <w:color w:val="000000"/>
                <w:sz w:val="20"/>
                <w:szCs w:val="20"/>
                <w:lang w:eastAsia="id-ID"/>
              </w:rPr>
              <w:lastRenderedPageBreak/>
              <w:t>atas hutan</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Provinsi hanya berfungsi koordinatif. Pertanyaan tidak dapat dijawab</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30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5681" w:type="dxa"/>
            <w:gridSpan w:val="4"/>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63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150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BIIe1</w:t>
            </w:r>
          </w:p>
        </w:tc>
        <w:tc>
          <w:tcPr>
            <w:tcW w:w="1152" w:type="dxa"/>
            <w:vMerge w:val="restart"/>
            <w:tcBorders>
              <w:top w:val="nil"/>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814" w:type="dxa"/>
            <w:vMerge w:val="restart"/>
            <w:tcBorders>
              <w:top w:val="nil"/>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Dinas Kehutanan tidak menyelesaikan konflik kehutanan. Konflik kehutanan ditangani oleh Polisi Hutan BBKSDA. Dinas Kehutanan hanya menjadi saksi ahli dalam persidangan.  </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3315"/>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BKSDA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Jumlah alokasi anggaran untuk Penanganan Konflik dan Tekanan pada Kawasan Konservasi Rp 1.308.770.000 realisasi Rp 1.099.930.000. Sumber: Laporan Tahunan 2011 BBKSDA Riau. Dilihat dari alokasi anggaran dapat dilihat bahwa BBKSDA berkomitmen terhadap penyelesaian konflik kehutanan. Data cukup memadai, tapi kegiatan disebutkan dalam data belum efektif.</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Konflik kehutanan yang ditangani oleh BBKSDA dengan luasan wilayah kerja sangat tidak memadai dinilai dari alokasi anggaran. Namun demikian, banyak konflik kehutanan yang tidak terselesaikan, seperti kasus perambahan hutan atau illegal logging. Konflik masyarakat dengan perusahaan berkaitan dengan perluasan lahan HTI juga hampir tidak ada yang terselesaikan hingga saat ini.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1785"/>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DIPA 2012 menyebutkan jumlah alokasi anggaran Penanganan Konflik dan Tekanan pada Kawasan Taman Nasional Rp </w:t>
            </w:r>
            <w:r w:rsidRPr="00BC2DA4">
              <w:rPr>
                <w:rFonts w:ascii="Times New Roman" w:eastAsia="Times New Roman" w:hAnsi="Times New Roman" w:cs="Times New Roman"/>
                <w:color w:val="000000"/>
                <w:sz w:val="20"/>
                <w:szCs w:val="20"/>
                <w:lang w:eastAsia="id-ID"/>
              </w:rPr>
              <w:lastRenderedPageBreak/>
              <w:t>655.145.000</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3</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Anggaran tidak mencukupi untuk penanganan konflik. Luas TNTN 83.000 ha, 32.000 ha telah dirambah dan ditanami sawit serta didiami sekitar </w:t>
            </w:r>
            <w:r w:rsidRPr="00BC2DA4">
              <w:rPr>
                <w:rFonts w:ascii="Times New Roman" w:eastAsia="Times New Roman" w:hAnsi="Times New Roman" w:cs="Times New Roman"/>
                <w:color w:val="000000"/>
                <w:sz w:val="20"/>
                <w:szCs w:val="20"/>
                <w:lang w:eastAsia="id-ID"/>
              </w:rPr>
              <w:lastRenderedPageBreak/>
              <w:t>5.000 kk. Masyarakat yang melakukan perambahan akan siap untuk berhadapan dengan aparat. Jumlah perambahan semakin luas.</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2</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Isu dalam PGA REDD+</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2704"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III. Pengorganisasian Hutan </w:t>
            </w: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84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70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BC2DA4" w:rsidRPr="00BC2DA4" w:rsidTr="00BC2DA4">
        <w:trPr>
          <w:trHeight w:val="36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single" w:sz="4" w:space="0" w:color="auto"/>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 Kepala TN, BKSDA, KPH Provinsi/Kabupaten </w:t>
            </w: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180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BIIIa1</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814"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KPH</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tersedia dokumen terkait KPH karena secara institusional belum disahkan sebagai unit SKPD</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KPH baru dibentuk sebatas kepengurusan. Ketua KPH sudah terpilih 2 orang, tapi belum ada kegiatan dan infrastruktur.</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3090"/>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BKSDA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BKSDA tidak memiliki dokumen terkait KPH ada di Dinas Kehutanan Provinsi</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KPH baru dibentuk sebatas kepengurusan. Ketua KPH sudah terpilih 2 orang, tapi belum ada kegiatan dan infrastruktur. SDM berpengalaman secara teknis, dan berpendidikan S2. Tapi untuk aspek tata kelola masih kurang memadai karena persoalannya pengelolaan kawasan seperti HTI pasti sangat kompleks dan sarat konflik.</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1275"/>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TNTN tidak memiliki dokumen KPH karena KPH ada di tingkat provinsi</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mengetahui bagaimana bentuk kelembagaan KPH dan SDM, informasi dan komunikasi dengan Dishut relatif kurang, mungkin disebabkan karena KPH adalah lembaga daerah sementara TNTN pusat.</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150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BIIIa2</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Memiliki pendidikan S1 di bidang kehutanan atau terkait</w:t>
            </w:r>
          </w:p>
        </w:tc>
        <w:tc>
          <w:tcPr>
            <w:tcW w:w="1814"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KPH</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KPH belum tersusun untuk publikasi</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Ketua KPH pendidikan S2 dan berpengalaman kerja di bidang kehutanan.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1350"/>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BKSDA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BKSDA tidak memiliki dokumen terkait KPH ada di Dinas Kehutanan Provinsi</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Ketua KPH memliki pengalaman di bidang kehutanan dan berpendidikan S2.</w:t>
            </w:r>
          </w:p>
        </w:tc>
        <w:tc>
          <w:tcPr>
            <w:tcW w:w="1382" w:type="dxa"/>
            <w:tcBorders>
              <w:top w:val="nil"/>
              <w:left w:val="nil"/>
              <w:bottom w:val="nil"/>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1245"/>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TNTN tidak memiliki dokumen KPH karena KPH ada di tingkat provinsi</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Ketua KPH memliki pengalaman di bidang kehutanan.</w:t>
            </w:r>
          </w:p>
        </w:tc>
        <w:tc>
          <w:tcPr>
            <w:tcW w:w="1382" w:type="dxa"/>
            <w:tcBorders>
              <w:top w:val="single" w:sz="4" w:space="0" w:color="auto"/>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321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BIIIa3</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Pernah mendapatkan pelatihan menjadi fasilitator </w:t>
            </w:r>
          </w:p>
        </w:tc>
        <w:tc>
          <w:tcPr>
            <w:tcW w:w="1814"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KPH</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dapat menyediakan data pelatihan, belum tersusun sistematis</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Ketua KPH mendapatkan persiapan serta pembekalan. Persiapan tersebut termasuk didalamnya studi banding pengelolaan hutan berbasis ecological services Sulawesi Tengah. Pelatihan khusus untuk menjadi fasilitator pengelolaan hutan belum pernah, tapi pengalaman sebagai saksi ahli dalam menangani kasus-kasus kehutanan pernah dilakukan.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2805"/>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BKSDA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BKSDA tidak memiliki dokumen terkait KPH ada di Dinas Kehutanan Provinsi</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Ketua KPH memiliki pengalaman dalam menangani kasus-kasus kehutanan, dan pernah mengikuti pelatihan untuk persiapan sebagai KPH. Tapi apakah itu dapat didefinisikan sebagai pelatihan fasilitator dalam pengertian bagaimana membangun kebersamaan antara masyarakat, kelompok adat bersama perusahaan untuk membangun kemitraan mengelola hutan, hal tersebut belum </w:t>
            </w:r>
            <w:r w:rsidRPr="00BC2DA4">
              <w:rPr>
                <w:rFonts w:ascii="Times New Roman" w:eastAsia="Times New Roman" w:hAnsi="Times New Roman" w:cs="Times New Roman"/>
                <w:color w:val="000000"/>
                <w:sz w:val="20"/>
                <w:szCs w:val="20"/>
                <w:lang w:eastAsia="id-ID"/>
              </w:rPr>
              <w:lastRenderedPageBreak/>
              <w:t>diketahui.</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2</w:t>
            </w:r>
          </w:p>
        </w:tc>
      </w:tr>
      <w:tr w:rsidR="00BC2DA4" w:rsidRPr="00BC2DA4" w:rsidTr="00BC2DA4">
        <w:trPr>
          <w:trHeight w:val="765"/>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TNTN tidak memiliki dokumen KPH karena KPH ada di tingkat provinsi</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tahu apakah pengurus KPH pernah mendapatkan pelatihan sebagai fasilitator.</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390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BIIIa4</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814"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KPH</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tersedia dokumen terkait KPH karena secara institusional masih dalam tahap pembangunan kelembagaan.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ada pengalaman, tapi koordinasi dengan dinas kehutanan di kabupaten sudah dijalankan. Studi banding pengelolaan hutan partisipatif juga sudah dilaksanakan. Selama ini karena izin pelepasan areal hutan diberikan langsung oleh kemenhut. Jadi selama ini tidak ada pengelolaan hutan partisipatif. Kondisi kehutanan Riau sangat rawan konflik mengingat sebagian besar areal hutan sudah berizin.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3825"/>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BKSDA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BKSDA tidak memiliki dokumen terkait KPH ada di Dinas Kehutanan Provinsi</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Untuk memfasilitasi para pihak dalam pengelolaan kehutanan adalah tugas yang sangat sulit, karena seluruh izin areal hutan menjadi kewenangan pusat. Dalam pemberian izin sebenarnya termasuk didalamnya kawasan-kawasan yang harus dilindungi seperti buffer zone atau green belt, tapi kenyataan hampir semua perusahaan pemilik izin </w:t>
            </w:r>
            <w:r w:rsidRPr="00BC2DA4">
              <w:rPr>
                <w:rFonts w:ascii="Times New Roman" w:eastAsia="Times New Roman" w:hAnsi="Times New Roman" w:cs="Times New Roman"/>
                <w:color w:val="000000"/>
                <w:sz w:val="20"/>
                <w:szCs w:val="20"/>
                <w:lang w:eastAsia="id-ID"/>
              </w:rPr>
              <w:lastRenderedPageBreak/>
              <w:t>pengelolaan baik itu HTI atau HPT tidak menjalankan ketentuan tersebut, dan tidak ada sanksi dari pusat dengan pelanggaran tersebut. KPH di Riau adalah KPHP akan mengalami kesulitan dalam memfasilitasi aspek tata kelola ini.</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2</w:t>
            </w:r>
          </w:p>
        </w:tc>
      </w:tr>
      <w:tr w:rsidR="00BC2DA4" w:rsidRPr="00BC2DA4" w:rsidTr="00BC2DA4">
        <w:trPr>
          <w:trHeight w:val="2295"/>
        </w:trPr>
        <w:tc>
          <w:tcPr>
            <w:tcW w:w="856"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TNTN tidak memiliki dokumen KPH karena KPH ada di tingkat provinsi</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Ditinjau dari kasus yang ada di TNTN saat ini agak riskan untuk menyatakan bahwa KPH nanti dapat memfasilitsi pengelolaan hutan secara bersama. Perambah di TNTN siap berperang dengan pemerintah dengan alasan HAM. Belum lagi menghadapi kenyataan bahwa perambah hutan di TNTN dilakukan juga oleh anggota DPRD Pelalawan.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70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BC2DA4" w:rsidRPr="00BC2DA4" w:rsidTr="00BC2DA4">
        <w:trPr>
          <w:trHeight w:val="36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single" w:sz="4" w:space="0" w:color="auto"/>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 Kepala TN, BKSDA, KPH Provinsi/Kabupaten</w:t>
            </w: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240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BIIIb1</w:t>
            </w:r>
          </w:p>
        </w:tc>
        <w:tc>
          <w:tcPr>
            <w:tcW w:w="1152" w:type="dxa"/>
            <w:vMerge w:val="restart"/>
            <w:tcBorders>
              <w:top w:val="nil"/>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814" w:type="dxa"/>
            <w:vMerge w:val="restart"/>
            <w:tcBorders>
              <w:top w:val="nil"/>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KPH</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ada ada anggaran karena belum ada pengesahan KPH oleh DPRD</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ada anggaran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1275"/>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BKSDA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Tidak ada di BKSDA berdasarkan dokumen seperti Laporan Tahunan dan LAKIP 2011 tidak disebutkan </w:t>
            </w:r>
            <w:r w:rsidRPr="00BC2DA4">
              <w:rPr>
                <w:rFonts w:ascii="Times New Roman" w:eastAsia="Times New Roman" w:hAnsi="Times New Roman" w:cs="Times New Roman"/>
                <w:color w:val="000000"/>
                <w:sz w:val="20"/>
                <w:szCs w:val="20"/>
                <w:lang w:eastAsia="id-ID"/>
              </w:rPr>
              <w:lastRenderedPageBreak/>
              <w:t>adanya anggaran tersebut.</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ada anggaran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765"/>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Berdasarkan data DIPA tahun 2012 tidak disebutkan adanya anggaran tersebut</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ada anggaran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255"/>
        </w:trPr>
        <w:tc>
          <w:tcPr>
            <w:tcW w:w="3822" w:type="dxa"/>
            <w:gridSpan w:val="3"/>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Isu dalam PGA REDD+</w:t>
            </w:r>
          </w:p>
        </w:tc>
        <w:tc>
          <w:tcPr>
            <w:tcW w:w="5681" w:type="dxa"/>
            <w:gridSpan w:val="4"/>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31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5681" w:type="dxa"/>
            <w:gridSpan w:val="4"/>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a. Jumlah luas kawasan hutan yang dialokasikan untuk masyarakat(?)</w:t>
            </w: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5681" w:type="dxa"/>
            <w:gridSpan w:val="4"/>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3570"/>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BIVa1</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Jumlah luas kawasan hutan yang dialokasikan untuk masyarakat</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Berapa jumlah luas kawasan hutan yang dialokasikan untuk masyara-kat?</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Berdasarkan keadaan belum finalnya padu serasi antara TGHK dan RTRWP, Tim Terpadu Provinsi baru menyelesaikan tahap finalisasi tata ruang seluruh kabupaten dan provinsi data dokumen belum dapat dipublikasikan karena masih dalam tahap ekspose di Kementerian Kehutanan. Data belum dapat dipublikasi untuk menghindari kesalahpahaman dan ketidakakuratan data yang akan dianalisis.</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ada kepastian berapa luas kawasan hutan yang dialokasikan bagi masyarakat, sepanjang belum disahkan pengganti TGHK/1986 oleh Kemenhut</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34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5681" w:type="dxa"/>
            <w:gridSpan w:val="4"/>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1275"/>
        </w:trPr>
        <w:tc>
          <w:tcPr>
            <w:tcW w:w="856" w:type="dxa"/>
            <w:tcBorders>
              <w:top w:val="nil"/>
              <w:left w:val="single" w:sz="4" w:space="0" w:color="auto"/>
              <w:bottom w:val="single" w:sz="4" w:space="0" w:color="auto"/>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BIVb1</w:t>
            </w:r>
          </w:p>
        </w:tc>
        <w:tc>
          <w:tcPr>
            <w:tcW w:w="1152" w:type="dxa"/>
            <w:tcBorders>
              <w:top w:val="nil"/>
              <w:left w:val="single" w:sz="4" w:space="0" w:color="auto"/>
              <w:bottom w:val="single" w:sz="4" w:space="0" w:color="auto"/>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Jumlah Unit Pengelola Hutan (KPHP/KPHL) yang </w:t>
            </w:r>
            <w:r w:rsidRPr="00BC2DA4">
              <w:rPr>
                <w:rFonts w:ascii="Times New Roman" w:eastAsia="Times New Roman" w:hAnsi="Times New Roman" w:cs="Times New Roman"/>
                <w:color w:val="000000"/>
                <w:sz w:val="20"/>
                <w:szCs w:val="20"/>
                <w:lang w:eastAsia="id-ID"/>
              </w:rPr>
              <w:lastRenderedPageBreak/>
              <w:t>telah diben-tuk dan operasional di Provinsi/ Kabupaten/Kota</w:t>
            </w:r>
          </w:p>
        </w:tc>
        <w:tc>
          <w:tcPr>
            <w:tcW w:w="1814" w:type="dxa"/>
            <w:tcBorders>
              <w:top w:val="nil"/>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 xml:space="preserve">Apakah jumlah Unit Pengelola Hu-tan (KPHP/KPHL) yang telah diben-tuk dan operasional di Provinsi/ </w:t>
            </w:r>
            <w:r w:rsidRPr="00BC2DA4">
              <w:rPr>
                <w:rFonts w:ascii="Times New Roman" w:eastAsia="Times New Roman" w:hAnsi="Times New Roman" w:cs="Times New Roman"/>
                <w:color w:val="000000"/>
                <w:sz w:val="20"/>
                <w:szCs w:val="20"/>
                <w:lang w:eastAsia="id-ID"/>
              </w:rPr>
              <w:lastRenderedPageBreak/>
              <w:t>Kabupaten/Kota sudah memadai?</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Kehutanan</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Tidak ditemukan dokumen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Sudah terbentuk 32 KPH yaitu 2 KPHL dan 30 KPHP dan sudah mulai ditempatkan pengelolanya. Dari </w:t>
            </w:r>
            <w:r w:rsidRPr="00BC2DA4">
              <w:rPr>
                <w:rFonts w:ascii="Times New Roman" w:eastAsia="Times New Roman" w:hAnsi="Times New Roman" w:cs="Times New Roman"/>
                <w:color w:val="000000"/>
                <w:sz w:val="20"/>
                <w:szCs w:val="20"/>
                <w:lang w:eastAsia="id-ID"/>
              </w:rPr>
              <w:lastRenderedPageBreak/>
              <w:t>32 KPH terdapat 3 KPH Model, 1 provinsi Riau dan 2 kabupaten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3</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36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BC2DA4" w:rsidRPr="00BC2DA4" w:rsidTr="00BC2DA4">
        <w:trPr>
          <w:trHeight w:val="63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280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BIVc1</w:t>
            </w:r>
          </w:p>
        </w:tc>
        <w:tc>
          <w:tcPr>
            <w:tcW w:w="115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 saja dasar pertimbangan yang digunakan dalam pemberian izin</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Kehutanan</w:t>
            </w:r>
          </w:p>
        </w:tc>
        <w:tc>
          <w:tcPr>
            <w:tcW w:w="1700" w:type="dxa"/>
            <w:tcBorders>
              <w:top w:val="nil"/>
              <w:left w:val="nil"/>
              <w:bottom w:val="single" w:sz="4" w:space="0" w:color="auto"/>
              <w:right w:val="single" w:sz="4" w:space="0" w:color="auto"/>
            </w:tcBorders>
            <w:shd w:val="clear" w:color="000000" w:fill="000000"/>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130" w:type="dxa"/>
            <w:tcBorders>
              <w:top w:val="nil"/>
              <w:left w:val="nil"/>
              <w:bottom w:val="single" w:sz="4" w:space="0" w:color="auto"/>
              <w:right w:val="single" w:sz="4" w:space="0" w:color="auto"/>
            </w:tcBorders>
            <w:shd w:val="clear" w:color="000000" w:fill="000000"/>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Jika dasar pertimbangan adalah TGHK/1986, maka seluruh pembangunan infrastruktur dan permukiman serta areal komersial dan perkebunan di Riau pada prinsipnya melanggar aturan tata ruang, karena berdasarkan TGHK/1986 secara keseluruhan Riau terdiri dari Hutan Lindung dan Suaka Margasatwa. Banyak sekali ketentuan yang tidak dijalankan dalam pemberian izin. Semuanya tergantung kemenhut.</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Isu dalam PGA REDD+</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2704"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V. Pengendalian dan Penegakan Hukum  </w:t>
            </w: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84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2704"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Pimpinan KPH Provinsi/Kabupaten </w:t>
            </w: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84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331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BVa1</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Kinerja KPH dalam penerapan sistem pengendalian internal</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KPH</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lengkap belum tersedia, masih dalam bentuk draft.</w:t>
            </w:r>
          </w:p>
        </w:tc>
        <w:tc>
          <w:tcPr>
            <w:tcW w:w="1130"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Belum ada kegiatan yang secara sistematis disusun menjadi kegiatan KPH. Kelembagaan KPH (di Riau KPHP) akan berbentuk UPTD di bawah dishut provinsi. Proses untuk membentuk lembaga baru setara SKPD sangat sulit, terlebih karena harus menyediakan 'dana pelicin' untuk disahkan di DPRD yang bukan menjadi rahasia lagi. Untuk itu diperlukan proses yang cukup panjang dalam aspek pengendalian internal. Saat ini saja konflik kehutanan di Riau kenyataannya tidak ada satupun yang terselesaikan.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BVa2</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KPH</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Rencananya KPHP akan memiliki LAKIP tersendiri. Saat ini kelembagaan akan berberntuk UPTD di bawah Dishut Provinsi </w:t>
            </w:r>
          </w:p>
        </w:tc>
        <w:tc>
          <w:tcPr>
            <w:tcW w:w="1130"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ada penyusunan mekanisme pengendalian internal, karena kelembagaan masih tahap konsoliasi, tapi diupayakan ke arah itu UPTD herus melaporkan kinerjanya dalam bentuk LAKIP.</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84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2704"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Bagian kepegawaian Polda/Polres/Polresta</w:t>
            </w: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84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BVb1</w:t>
            </w:r>
          </w:p>
        </w:tc>
        <w:tc>
          <w:tcPr>
            <w:tcW w:w="1152"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814" w:type="dxa"/>
            <w:tcBorders>
              <w:top w:val="nil"/>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Polres</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Data Kepegawaian Reskrimsus Unit I Bidang IV. Tidak dapat dicopy hanya ditunjukkan kepada peneliti.</w:t>
            </w:r>
          </w:p>
        </w:tc>
        <w:tc>
          <w:tcPr>
            <w:tcW w:w="1130"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Sangat memadai dari segi kualitas, karena SDM Polda Riau Reskrimsus Unit I Bidang IV menangani masalah illegal logging, illegal fishing, lingkungan hidup, KSDA, listrik serta minyak dan gas. </w:t>
            </w:r>
            <w:r w:rsidRPr="00BC2DA4">
              <w:rPr>
                <w:rFonts w:ascii="Times New Roman" w:eastAsia="Times New Roman" w:hAnsi="Times New Roman" w:cs="Times New Roman"/>
                <w:color w:val="000000"/>
                <w:sz w:val="20"/>
                <w:szCs w:val="20"/>
                <w:lang w:eastAsia="id-ID"/>
              </w:rPr>
              <w:lastRenderedPageBreak/>
              <w:t xml:space="preserve">Tapi dari segi kuantitas yang hanya 16 personil sangat tidak mencukupi.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2</w:t>
            </w:r>
          </w:p>
        </w:tc>
      </w:tr>
      <w:tr w:rsidR="00BC2DA4" w:rsidRPr="00BC2DA4" w:rsidTr="00BC2DA4">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BVb2</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Sertifikat/Bukti Keikutsertaan pelatihan</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Polres</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tidak tersedia, karena tidak memiliki setifikat</w:t>
            </w:r>
          </w:p>
        </w:tc>
        <w:tc>
          <w:tcPr>
            <w:tcW w:w="1130"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memiliki sertifikat bidang kehutanan, tapi penyidik yang bertugas mendapatkan pelatihan, SKEP, dan juga sebagai instruktur  dalam berbagai pelatihan penanganan kasus-kasus kehutanan. Secara kualitas hampir seluruhnya memadai.</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301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BVb3</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Pengalaman kerja dalam bidang yang terkait pidana kehutanan dan lingkungan</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Polres</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Untuk meminta data SDM harus mengajukan surat khusus permohonan data detail SDM karena seluruh data dikonsolidasi di Polda Bagian Kepegawaian. Reskrimsus tidak dapat memenuhi permohonan data SDM karena terkait keadaan riil kesatuan. Tapi data kasus kehutanan sesuai yang diminta dapat dilayani.</w:t>
            </w:r>
          </w:p>
        </w:tc>
        <w:tc>
          <w:tcPr>
            <w:tcW w:w="1130"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Ditinjau dari pengalaman sangat memadai, karena menangani kasus-kasus yang berkaitan dengan kehutanan. Kasus kehutanan merupakan kasus yang cukup menonjol di Riau.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45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5681" w:type="dxa"/>
            <w:gridSpan w:val="4"/>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2704"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Bagian kepegawaian Kejati/Kejari</w:t>
            </w: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84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BVc1</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Kejati</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detail berkaitan indikator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Kualifikasi jaksa relatif memadai untuk menangani kasus-kasus kehutanan dan lingkungan, tapi dengan jumlah 67 jaksa di kejati relatif kurang karena kasus lingkungan relatif besar di provinsi </w:t>
            </w:r>
            <w:r w:rsidRPr="00BC2DA4">
              <w:rPr>
                <w:rFonts w:ascii="Times New Roman" w:eastAsia="Times New Roman" w:hAnsi="Times New Roman" w:cs="Times New Roman"/>
                <w:color w:val="000000"/>
                <w:sz w:val="20"/>
                <w:szCs w:val="20"/>
                <w:lang w:eastAsia="id-ID"/>
              </w:rPr>
              <w:lastRenderedPageBreak/>
              <w:t>Riau.</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3</w:t>
            </w:r>
          </w:p>
        </w:tc>
      </w:tr>
      <w:tr w:rsidR="00BC2DA4" w:rsidRPr="00BC2DA4" w:rsidTr="00BC2DA4">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BVc2</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Sertifikat/Bukti Keikutsertaan pelatihan</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Kejati</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Sedang menunggu fotokopi sertifikat</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Setiap tahun jaksa mengikuti pelatihan dan memiliki sertifikat khusus kehutanan di Riau.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4080"/>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BVc3</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Pengalaman kerja dalam bidang yang terkait pidana kehutanan dan lingkungan</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Kejati</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Dokumen detail berkaitan indikator tidak dapat diselesaikan karena masalah prosedur surat masuk wawancara yang menghabiskan waktu. Pengajuan surat pengumpulan data pertama hilang di bagian tata usaha. Pengajuan surat kedua disposisi di bagian keuangan, tidak relevan dengan data. Surat di kembalikan ke kepala kejati kembali untuk disposisi ulang. Kemudian surat di disposisi ke bagian Pembinaan dan Pidum. Total waktu yang dibutuhkan untuk follow up surat satu hingga wawancara adalah satu minggu.</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Jaksa-jaksa yang ada di Kejati Riau adalah jaksa senior dan memiliki kualifikasi memadai di bidang kehutanan. Pengalaman lebih dari 5 tahun menangani kasus kehutanan. Namun persoalan yang sangat besar justru dalam penanganan kasus kehutanan tidak dapat menjangkau aktor intelektual atau pemodal besar. Yang tertangkap hanyalah pelaku di lapangan seperti buruh atau sopir, sementara pemilik modal tidak ditindaklanjuti oleh kepolisian. Kejati telah merekomendasikan untuk penelusuran lebih lanjut kasus-kasus kehutanan dan lingkungan.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45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5681" w:type="dxa"/>
            <w:gridSpan w:val="4"/>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3834" w:type="dxa"/>
            <w:gridSpan w:val="3"/>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Bagian kepegawaian Pengadilan Tinggi/Pengadilan Negeri</w:t>
            </w:r>
          </w:p>
        </w:tc>
        <w:tc>
          <w:tcPr>
            <w:tcW w:w="184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3060"/>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lastRenderedPageBreak/>
              <w:t>BVd1</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Pengadilan Tinggi</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Data Kepegawaian tidak  difotokopi karena menyangkut pegawai scara keseluruhan.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Jumlah hakim yang menangani kasus kehutanan kurang memadai karena persidangan kasus kehutanan memakan waktu yang cukup lama. Di Pengadilan Tinggi Pekanbaru jumlah hakin tinggi 19 orang dan hakim tipikor 2 orang. Berdasarkan jenjang pendidikan hakim tinggi terdiri dari 8 orang berpendidikan S1, dan 11 orang berpendidikan S2. Pada umumnya kasus-kasus lingkungan dan kehutanan disidangkan di pengadilan tinggi.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BVd2</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Sertifikat/Bukti Keikutsertaan pelatihan</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Pengadilan Tinggi</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Data Kepegawaian tidak difotokopi</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Hakim belum memiliki sertifikat tapi mengukuti pelatihan-pelatihan atau diklat yang berkaitan dengan kasus kehutanan. Hakim yang ada dipengadilan tinggi adalah hakim-hakim senior.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BVd3</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Pengalaman kerja dalam bidang yang terkait pidana kehutanan dan lingkungan</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Pengadilan Tinggi</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Data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Pengalaman kerja hakim terkait pidana kehutanan relatif memadai, karena sebelumnya berpengalaman menangani kasus-kasus kehutanan di kejari seperti perambahan, ilegal logging atau penerbitan izin yang melanggar ketentuan.Minimal para hakim memiliki pengalaman 5 tahun.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34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3834" w:type="dxa"/>
            <w:gridSpan w:val="3"/>
            <w:tcBorders>
              <w:top w:val="nil"/>
              <w:left w:val="nil"/>
              <w:bottom w:val="nil"/>
              <w:right w:val="nil"/>
            </w:tcBorders>
            <w:shd w:val="clear" w:color="auto" w:fill="auto"/>
            <w:noWrap/>
            <w:hideMark/>
          </w:tcPr>
          <w:p w:rsidR="00BC2DA4" w:rsidRPr="00BC2DA4" w:rsidRDefault="00BC2DA4" w:rsidP="00BC2DA4">
            <w:pPr>
              <w:spacing w:after="24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Unit reskrim Polda, Unit reskrim Polres/Polresta</w:t>
            </w:r>
          </w:p>
        </w:tc>
        <w:tc>
          <w:tcPr>
            <w:tcW w:w="184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lastRenderedPageBreak/>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364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BVe1</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814" w:type="dxa"/>
            <w:vMerge w:val="restart"/>
            <w:tcBorders>
              <w:top w:val="nil"/>
              <w:left w:val="single" w:sz="4" w:space="0" w:color="auto"/>
              <w:bottom w:val="single" w:sz="4" w:space="0" w:color="000000"/>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Kejati</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Jumlah kasus kehutanan berdasarkan Dokumen Buku Besar Kasus di Kejaksaan Tinggi Riau Pekanbaru "Register Pembantu Surat Pemberitahuan Dimulainya Penyidikan (SPDP) Tindak Pidana Umum  Lainnya (TPUL). Format dokumen: buku besar manual. Kasus kehutanan yang sampai pada proses penyidikan: 2010: 26 perkara, 2011: 9 perkara, 2012: 7 perkara. (tidak dapat dicopy)</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Gelar perkara yang dilakukan oleh kepolisian kurang memadai karena hanya berhasil menangkap pelaku di tingkat bawah yang kurang signifikan karena hanya menangkap pelaku masyarakat kelas bawah, bukan pemodal besar aktor intelektualnya. Kepolisian harusnya menelusuri hingga ke pelaku utama dengan menelusuri informasi dari pelaku yang tertangkap tangan. Jadi, kasus-kasus yang dilimpahkan ke kejaksaan dapat mengungkap kasus besar kehutanan sampai ke pelaku utama. Hal ini menjadi satu-satunya cara untuk mengurangi kerusakan lingkungan.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3090"/>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Polres</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Jumlah kasus kehutanan berdasarkan Dokumen Data Penanganan Kasus Illegal Logging oleh Polda Riau dan Jajaran menyebutkan bahwa tahun 2010 jumlah kasus 207 kasus, 2011 jumlah 57 kasus, tahun 2012 jumlah 41 kasus. Kasus yang termasuk kasus kehutanan adalah Illegal Logging</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Kasus yang ditangani memadai karena kualifikasi penyidik dan aturan normatif. Walaupuan kadang kesulitan dalam penentuan pasal. Tapi, hingga saat ini Reskrimsus Unit I Subdit IV menangani perkara: Illegal Logging, Illegal Fishing, Lingkungan Hidup, KSDA, Listrik dan Minyak dapat memenuhi tupoksi dengan ketersediaan sumber daya yang ada. Reskrimsus tidak memiliki kendaraan roda empat khusus untuk menangani perkara. Jika ada kasus mobil harus menyewa. </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2130"/>
        </w:trPr>
        <w:tc>
          <w:tcPr>
            <w:tcW w:w="856" w:type="dxa"/>
            <w:vMerge/>
            <w:tcBorders>
              <w:top w:val="nil"/>
              <w:left w:val="single" w:sz="4" w:space="0" w:color="auto"/>
              <w:bottom w:val="single" w:sz="4" w:space="0" w:color="auto"/>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vMerge/>
            <w:tcBorders>
              <w:top w:val="nil"/>
              <w:left w:val="single" w:sz="4" w:space="0" w:color="auto"/>
              <w:bottom w:val="single" w:sz="4" w:space="0" w:color="000000"/>
              <w:right w:val="single" w:sz="4" w:space="0" w:color="auto"/>
            </w:tcBorders>
            <w:vAlign w:val="center"/>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Pengadilan Negeri</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Data tidak tersedia karena waktu yang diperlukan untuk memilah data kurang memadai</w:t>
            </w:r>
          </w:p>
        </w:tc>
        <w:tc>
          <w:tcPr>
            <w:tcW w:w="1130"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Penanganan kasus lingkungan ke tingkat pengadilan tinggi sangat tergantung pada penyelidikan dan penyidikan serta kelengkapan barang bukti. Kasus kehutanan tidak terpilah karena di pengadilan tinggi kasus dibagi menjadi kasus pidana, perdana dan tipikor.</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Isu dalam PGA REDD+</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2704"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VI. Infrastruktur REDD+</w:t>
            </w: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84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a.  Keberadaan lembaga REDD+ di Nasional dan Sub nasional</w:t>
            </w:r>
          </w:p>
        </w:tc>
      </w:tr>
      <w:tr w:rsidR="00BC2DA4" w:rsidRPr="00BC2DA4" w:rsidTr="00BC2DA4">
        <w:trPr>
          <w:trHeight w:val="36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5681" w:type="dxa"/>
            <w:gridSpan w:val="4"/>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Nasional: UKP4 (Satgas REDD+)</w:t>
            </w:r>
            <w:r w:rsidRPr="00BC2DA4">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BVIa1</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Ada atau tidak adanya lembaga REDD+ di Nasional dan Sub nasional</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terdapat lembaga REDD+ di Nasional dan Sub nasional?</w:t>
            </w: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Satgas REDD+</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SK Kepengurusan REDD+ sedang disiapkan oleh dishut prov</w:t>
            </w:r>
          </w:p>
        </w:tc>
        <w:tc>
          <w:tcPr>
            <w:tcW w:w="1130"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Kelembagaan REDD+ di Tingkat Provinsi sudah terbentuk, tapi baru sebatas Kepengurusan belum ada infrastruktur. Jadi kelembagaan REDD+ di tingkat provinsi belum sempurna.</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BVIa2</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dukungan peraturan ter-hadap lembaga REDD+ sudah memadai?</w:t>
            </w: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Satgas REDD+</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SK Kepengurusan REDD+ sedang disiapkan oleh dishut prov</w:t>
            </w:r>
          </w:p>
        </w:tc>
        <w:tc>
          <w:tcPr>
            <w:tcW w:w="1130"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memadai karena baru ada SK Kepengurusan REDD+</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84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BC2DA4" w:rsidRPr="00BC2DA4" w:rsidTr="00BC2DA4">
        <w:trPr>
          <w:trHeight w:val="58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single" w:sz="4" w:space="0" w:color="auto"/>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Nasional: UKP4 (Satgas REDD+)</w:t>
            </w:r>
            <w:r w:rsidRPr="00BC2DA4">
              <w:rPr>
                <w:rFonts w:ascii="Times New Roman" w:eastAsia="Times New Roman" w:hAnsi="Times New Roman" w:cs="Times New Roman"/>
                <w:b/>
                <w:bCs/>
                <w:color w:val="000000"/>
                <w:sz w:val="20"/>
                <w:szCs w:val="20"/>
                <w:lang w:eastAsia="id-ID"/>
              </w:rPr>
              <w:br/>
              <w:t xml:space="preserve">  Sub nasional: Dinas Kehutanan dan Lingkungan Hidup</w:t>
            </w: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BVIb1</w:t>
            </w:r>
          </w:p>
        </w:tc>
        <w:tc>
          <w:tcPr>
            <w:tcW w:w="1152"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Ada atau tidak adanya lembaga MRV di Nasional dan Sub nasional</w:t>
            </w:r>
          </w:p>
        </w:tc>
        <w:tc>
          <w:tcPr>
            <w:tcW w:w="1814" w:type="dxa"/>
            <w:tcBorders>
              <w:top w:val="nil"/>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terdapat lembaga MRV di Nasional dan Sub nasional?</w:t>
            </w: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Satgas REDD+</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Data tidak tersedia sehubungan belum tercapai kondisi sesuai indikator</w:t>
            </w:r>
          </w:p>
        </w:tc>
        <w:tc>
          <w:tcPr>
            <w:tcW w:w="1130"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ada lembaga MRV</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BVIb2</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dukungan peraturan ter-hadap lembaga MRV sudah memadai?</w:t>
            </w: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Satgas REDD+</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Data tidak tersedia sehubungan belum tercapai kondisi sesuai indikator</w:t>
            </w:r>
          </w:p>
        </w:tc>
        <w:tc>
          <w:tcPr>
            <w:tcW w:w="1130"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Pertanyaan tidak dapat dijawab karena lembaga MRV belum ada</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45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3834" w:type="dxa"/>
            <w:gridSpan w:val="3"/>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c. Keberadaan lembaga finansial di Nasional dan Sub nasional</w:t>
            </w:r>
          </w:p>
        </w:tc>
        <w:tc>
          <w:tcPr>
            <w:tcW w:w="184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5681" w:type="dxa"/>
            <w:gridSpan w:val="4"/>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Nasional: UKP4 (Satgas REDD+)</w:t>
            </w:r>
            <w:r w:rsidRPr="00BC2DA4">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BVIc1</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Ada atau tidak adanya lembaga finansial di tingkat Nasional dan Sub nasional</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terdapat lembaga finansial di tingkat Nasional dan Sub nasional?</w:t>
            </w: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Satgas REDD+</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Data tidak tersedia sehubungan belum tercapai kondisi sesuai indikator</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ada lembaga finansial REDD+ di tingkat provinsi</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BVIc2</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dukungan peraturan ter-hadap lembaga finansial sudah memadai?</w:t>
            </w: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Satgas REDD+</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Data tidak tersedia sehubungan belum tercapai kondisi sesuai indikator</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Pertanyaan tidak dapat dijawab, belum diketahui aturannya</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45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5681" w:type="dxa"/>
            <w:gridSpan w:val="4"/>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2704"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Ketua Satgas REDD+/Pokja REDD+</w:t>
            </w: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84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BVId1</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Satgas REDD+</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Data tidak tersedia sehubungan belum tercapai kondisi sesuai indikator</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Untuk teknis kehutanan memadai, karena latar belakang pendidikan dan pengalaman. Untuk tata kelola sepanjang mekanismenya masih menjadi sepenuhnya kewenangan pusat SDM sebaik apapun tidak akan maksimal dalam tata kelola kehutanan.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r>
      <w:tr w:rsidR="00BC2DA4" w:rsidRPr="00BC2DA4" w:rsidTr="00BC2DA4">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BVId2</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Satgas REDD+</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Data tidak tersedia</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Sertifikat tata kelola bidang kehutanan belum dimiliki oleh SDM</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BVId3</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Satgas REDD+</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Data SDM Satgas REDD+ diambil  dari data Kepegawaian berdasarkan Laporan Tahunan 2011 Dinas Kehutanan Provinsi</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3</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SDM cukup memadai, karena sebagian besar berlatar belakang pendidikan kehutanan, tapi sepanjang tidak punya kewenangan maka SDM akan sia-sia.</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2</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5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BC2DA4">
              <w:rPr>
                <w:rFonts w:ascii="Times New Roman" w:eastAsia="Times New Roman" w:hAnsi="Times New Roman" w:cs="Times New Roman"/>
                <w:b/>
                <w:bCs/>
                <w:color w:val="000000"/>
                <w:sz w:val="20"/>
                <w:szCs w:val="20"/>
                <w:lang w:eastAsia="id-ID"/>
              </w:rPr>
              <w:br/>
              <w:t xml:space="preserve"> (Strategi, monitoring, lembaga)</w:t>
            </w:r>
          </w:p>
        </w:tc>
      </w:tr>
      <w:tr w:rsidR="00BC2DA4" w:rsidRPr="00BC2DA4" w:rsidTr="00BC2DA4">
        <w:trPr>
          <w:trHeight w:val="36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single" w:sz="4" w:space="0" w:color="auto"/>
              <w:right w:val="nil"/>
            </w:tcBorders>
            <w:shd w:val="clear" w:color="auto" w:fill="auto"/>
            <w:hideMark/>
          </w:tcPr>
          <w:p w:rsidR="00BC2DA4" w:rsidRPr="00BC2DA4" w:rsidRDefault="00BC2DA4" w:rsidP="00BC2DA4">
            <w:pPr>
              <w:spacing w:after="24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Nasional: Ketua Satgas REDD+</w:t>
            </w: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BVIe1</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Satgas REDD+</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Data tidak tersedia sehubungan belum tercapai kondisi sesuai indikator</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ada anggaran</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45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5681" w:type="dxa"/>
            <w:gridSpan w:val="4"/>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70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single" w:sz="4" w:space="0" w:color="auto"/>
              <w:right w:val="nil"/>
            </w:tcBorders>
            <w:shd w:val="clear" w:color="auto" w:fill="auto"/>
            <w:hideMark/>
          </w:tcPr>
          <w:p w:rsidR="00BC2DA4" w:rsidRPr="00BC2DA4" w:rsidRDefault="00BC2DA4" w:rsidP="00BC2DA4">
            <w:pPr>
              <w:spacing w:after="24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:Nasional: UKP4 (Satgas REDD+)</w:t>
            </w:r>
            <w:r w:rsidRPr="00BC2DA4">
              <w:rPr>
                <w:rFonts w:ascii="Times New Roman" w:eastAsia="Times New Roman" w:hAnsi="Times New Roman" w:cs="Times New Roman"/>
                <w:b/>
                <w:bCs/>
                <w:color w:val="000000"/>
                <w:sz w:val="20"/>
                <w:szCs w:val="20"/>
                <w:lang w:eastAsia="id-ID"/>
              </w:rPr>
              <w:br/>
              <w:t xml:space="preserve">  Sub nasional: Dinas Kehutanan dan Lingkungan Hidup</w:t>
            </w: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BVIf1</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Ada atau tidak adanya kerangka pengaman di tingkat Nasional dan Sub nasional</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terdapat kerangka pengaman di tingkat Nasional dan Sub nasional?</w:t>
            </w: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Satgas REDD+</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Data tidak tersedia sehubungan belum tercapai kondisi sesuai indikator</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ada safe guard</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BVIf2</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24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dukungan peraturan ter-hadap kerangka pengaman sudah memadai?</w:t>
            </w: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Satgas REDD+</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Data tidak tersedia sehubungan belum tercapai kondisi sesuai indikator</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ada aturan tentang safe guard</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255"/>
        </w:trPr>
        <w:tc>
          <w:tcPr>
            <w:tcW w:w="856"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5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14"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004"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70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c>
          <w:tcPr>
            <w:tcW w:w="1847" w:type="dxa"/>
            <w:tcBorders>
              <w:top w:val="nil"/>
              <w:left w:val="nil"/>
              <w:bottom w:val="nil"/>
              <w:right w:val="nil"/>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p>
        </w:tc>
      </w:tr>
      <w:tr w:rsidR="00BC2DA4" w:rsidRPr="00BC2DA4" w:rsidTr="00BC2DA4">
        <w:trPr>
          <w:trHeight w:val="690"/>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Indikator</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7063" w:type="dxa"/>
            <w:gridSpan w:val="5"/>
            <w:tcBorders>
              <w:top w:val="nil"/>
              <w:left w:val="nil"/>
              <w:bottom w:val="nil"/>
              <w:right w:val="nil"/>
            </w:tcBorders>
            <w:shd w:val="clear" w:color="auto" w:fill="auto"/>
            <w:hideMark/>
          </w:tcPr>
          <w:p w:rsidR="00BC2DA4" w:rsidRPr="00BC2DA4" w:rsidRDefault="00BC2DA4" w:rsidP="00BC2DA4">
            <w:pPr>
              <w:spacing w:after="24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BC2DA4">
              <w:rPr>
                <w:rFonts w:ascii="Times New Roman" w:eastAsia="Times New Roman" w:hAnsi="Times New Roman" w:cs="Times New Roman"/>
                <w:b/>
                <w:bCs/>
                <w:color w:val="000000"/>
                <w:sz w:val="20"/>
                <w:szCs w:val="20"/>
                <w:lang w:eastAsia="id-ID"/>
              </w:rPr>
              <w:br/>
              <w:t xml:space="preserve">  akibat pembagian hasil REDD+</w:t>
            </w:r>
          </w:p>
        </w:tc>
      </w:tr>
      <w:tr w:rsidR="00BC2DA4" w:rsidRPr="00BC2DA4" w:rsidTr="00BC2DA4">
        <w:trPr>
          <w:trHeight w:val="255"/>
        </w:trPr>
        <w:tc>
          <w:tcPr>
            <w:tcW w:w="2008"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Wawancara - Sumber informasi</w:t>
            </w:r>
          </w:p>
        </w:tc>
        <w:tc>
          <w:tcPr>
            <w:tcW w:w="1814"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2704" w:type="dxa"/>
            <w:gridSpan w:val="2"/>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 Ketua Satgas REDD+/Pokja REDD+</w:t>
            </w:r>
          </w:p>
        </w:tc>
        <w:tc>
          <w:tcPr>
            <w:tcW w:w="1130"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847" w:type="dxa"/>
            <w:tcBorders>
              <w:top w:val="nil"/>
              <w:left w:val="nil"/>
              <w:bottom w:val="nil"/>
              <w:right w:val="nil"/>
            </w:tcBorders>
            <w:shd w:val="clear" w:color="auto" w:fill="auto"/>
            <w:noWrap/>
            <w:hideMark/>
          </w:tcPr>
          <w:p w:rsidR="00BC2DA4" w:rsidRPr="00BC2DA4" w:rsidRDefault="00BC2DA4" w:rsidP="00BC2DA4">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p>
        </w:tc>
      </w:tr>
      <w:tr w:rsidR="00BC2DA4" w:rsidRPr="00BC2DA4" w:rsidTr="00BC2DA4">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Kode</w:t>
            </w:r>
          </w:p>
        </w:tc>
        <w:tc>
          <w:tcPr>
            <w:tcW w:w="115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Panduan Analisis Dokumen</w:t>
            </w:r>
          </w:p>
        </w:tc>
        <w:tc>
          <w:tcPr>
            <w:tcW w:w="181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Pertanyaan Wawancara</w:t>
            </w:r>
          </w:p>
        </w:tc>
        <w:tc>
          <w:tcPr>
            <w:tcW w:w="1004"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Sumber Data</w:t>
            </w:r>
          </w:p>
        </w:tc>
        <w:tc>
          <w:tcPr>
            <w:tcW w:w="170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Dokumen</w:t>
            </w:r>
          </w:p>
        </w:tc>
        <w:tc>
          <w:tcPr>
            <w:tcW w:w="1130"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Dokumen</w:t>
            </w:r>
          </w:p>
        </w:tc>
        <w:tc>
          <w:tcPr>
            <w:tcW w:w="1847"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b/>
                <w:bCs/>
                <w:color w:val="000000"/>
                <w:sz w:val="20"/>
                <w:szCs w:val="20"/>
                <w:lang w:eastAsia="id-ID"/>
              </w:rPr>
            </w:pPr>
            <w:r w:rsidRPr="00BC2DA4">
              <w:rPr>
                <w:rFonts w:ascii="Times New Roman" w:eastAsia="Times New Roman" w:hAnsi="Times New Roman" w:cs="Times New Roman"/>
                <w:b/>
                <w:bCs/>
                <w:color w:val="000000"/>
                <w:sz w:val="20"/>
                <w:szCs w:val="20"/>
                <w:lang w:eastAsia="id-ID"/>
              </w:rPr>
              <w:t>Kategori Data Wawancara</w:t>
            </w:r>
          </w:p>
        </w:tc>
      </w:tr>
      <w:tr w:rsidR="00BC2DA4" w:rsidRPr="00BC2DA4" w:rsidTr="00BC2DA4">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BVIg1</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Satgas REDD+</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Data tidak tersedia sehubungan belum tercapai kondisi sesuai indikator</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ada yang memiliki kualifikasi memadai untuk mediasi konflik</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BVIg2</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Sertifikat/Bukti Keikutsertaan pelatihan mediasi konflik pembagian hasil REDD+</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Satgas REDD+</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Data tidak tersedia sehubungan belum tercapai kondisi sesuai indikator</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ada yang mengikuti pelatihan mediasi konflik</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r w:rsidR="00BC2DA4" w:rsidRPr="00BC2DA4" w:rsidTr="00BC2DA4">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BVIg3</w:t>
            </w:r>
          </w:p>
        </w:tc>
        <w:tc>
          <w:tcPr>
            <w:tcW w:w="1152"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 xml:space="preserve">Pengalaman kerja dalam medi-asi konflik pembagian hasil REDD+ </w:t>
            </w:r>
          </w:p>
        </w:tc>
        <w:tc>
          <w:tcPr>
            <w:tcW w:w="1814"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004"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Satgas REDD+</w:t>
            </w:r>
          </w:p>
        </w:tc>
        <w:tc>
          <w:tcPr>
            <w:tcW w:w="170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Data tidak tersedia sehubungan belum tercapai kondisi sesuai indikator</w:t>
            </w:r>
          </w:p>
        </w:tc>
        <w:tc>
          <w:tcPr>
            <w:tcW w:w="1130"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c>
          <w:tcPr>
            <w:tcW w:w="1847" w:type="dxa"/>
            <w:tcBorders>
              <w:top w:val="nil"/>
              <w:left w:val="nil"/>
              <w:bottom w:val="single" w:sz="4" w:space="0" w:color="auto"/>
              <w:right w:val="single" w:sz="4" w:space="0" w:color="auto"/>
            </w:tcBorders>
            <w:shd w:val="clear" w:color="auto" w:fill="auto"/>
            <w:hideMark/>
          </w:tcPr>
          <w:p w:rsidR="00BC2DA4" w:rsidRPr="00BC2DA4" w:rsidRDefault="00BC2DA4" w:rsidP="00BC2DA4">
            <w:pPr>
              <w:spacing w:after="0" w:line="240" w:lineRule="auto"/>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Belum ada SDM yang memiliki pengelaman kerja dalam mediasi konflik pembagian hasil REDD+</w:t>
            </w:r>
          </w:p>
        </w:tc>
        <w:tc>
          <w:tcPr>
            <w:tcW w:w="1382" w:type="dxa"/>
            <w:tcBorders>
              <w:top w:val="nil"/>
              <w:left w:val="nil"/>
              <w:bottom w:val="single" w:sz="4" w:space="0" w:color="auto"/>
              <w:right w:val="single" w:sz="4" w:space="0" w:color="auto"/>
            </w:tcBorders>
            <w:shd w:val="clear" w:color="auto" w:fill="auto"/>
            <w:noWrap/>
            <w:hideMark/>
          </w:tcPr>
          <w:p w:rsidR="00BC2DA4" w:rsidRPr="00BC2DA4" w:rsidRDefault="00BC2DA4" w:rsidP="00BC2DA4">
            <w:pPr>
              <w:spacing w:after="0" w:line="240" w:lineRule="auto"/>
              <w:jc w:val="center"/>
              <w:rPr>
                <w:rFonts w:ascii="Times New Roman" w:eastAsia="Times New Roman" w:hAnsi="Times New Roman" w:cs="Times New Roman"/>
                <w:color w:val="000000"/>
                <w:sz w:val="20"/>
                <w:szCs w:val="20"/>
                <w:lang w:eastAsia="id-ID"/>
              </w:rPr>
            </w:pPr>
            <w:r w:rsidRPr="00BC2DA4">
              <w:rPr>
                <w:rFonts w:ascii="Times New Roman" w:eastAsia="Times New Roman" w:hAnsi="Times New Roman" w:cs="Times New Roman"/>
                <w:color w:val="000000"/>
                <w:sz w:val="20"/>
                <w:szCs w:val="20"/>
                <w:lang w:eastAsia="id-ID"/>
              </w:rPr>
              <w:t>1</w:t>
            </w:r>
          </w:p>
        </w:tc>
      </w:tr>
    </w:tbl>
    <w:p w:rsidR="00BC2DA4" w:rsidRDefault="00BC2DA4"/>
    <w:sectPr w:rsidR="00BC2DA4"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643D1"/>
    <w:rsid w:val="006E5970"/>
    <w:rsid w:val="009F3E98"/>
    <w:rsid w:val="00A91768"/>
    <w:rsid w:val="00BB5203"/>
    <w:rsid w:val="00BC2DA4"/>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1132477313">
      <w:bodyDiv w:val="1"/>
      <w:marLeft w:val="0"/>
      <w:marRight w:val="0"/>
      <w:marTop w:val="0"/>
      <w:marBottom w:val="0"/>
      <w:divBdr>
        <w:top w:val="none" w:sz="0" w:space="0" w:color="auto"/>
        <w:left w:val="none" w:sz="0" w:space="0" w:color="auto"/>
        <w:bottom w:val="none" w:sz="0" w:space="0" w:color="auto"/>
        <w:right w:val="none" w:sz="0" w:space="0" w:color="auto"/>
      </w:divBdr>
    </w:div>
    <w:div w:id="202555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33</Pages>
  <Words>9158</Words>
  <Characters>52206</Characters>
  <Application>Microsoft Office Word</Application>
  <DocSecurity>0</DocSecurity>
  <Lines>435</Lines>
  <Paragraphs>122</Paragraphs>
  <ScaleCrop>false</ScaleCrop>
  <Company/>
  <LinksUpToDate>false</LinksUpToDate>
  <CharactersWithSpaces>61242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2012-10-16T10:07:00Z</dcterms:modified>
</cp:coreProperties>
</file>